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8539D" w14:textId="54978C36" w:rsidR="00005C3B" w:rsidRDefault="003246EA" w:rsidP="008C228E">
      <w:pPr>
        <w:pStyle w:val="Pagedecouverture"/>
      </w:pPr>
      <w:bookmarkStart w:id="0" w:name="LW_BM_COVERPAGE"/>
      <w:r>
        <w:pict w14:anchorId="306EF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D323678-E2AF-409E-AF29-EEC13D01BC97" style="width:454.55pt;height:410.7pt">
            <v:imagedata r:id="rId8" o:title=""/>
          </v:shape>
        </w:pict>
      </w:r>
    </w:p>
    <w:bookmarkEnd w:id="0"/>
    <w:p w14:paraId="10F3B3AE" w14:textId="77777777" w:rsidR="00005C3B" w:rsidRDefault="00005C3B" w:rsidP="00005C3B">
      <w:pPr>
        <w:sectPr w:rsidR="00005C3B" w:rsidSect="008C228E">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7EF89F53" w14:textId="77777777" w:rsidR="0045525D" w:rsidRDefault="0045525D" w:rsidP="0045525D">
      <w:pPr>
        <w:pStyle w:val="Annexetitre"/>
      </w:pPr>
      <w:r>
        <w:lastRenderedPageBreak/>
        <w:t xml:space="preserve">ANEXO </w:t>
      </w:r>
    </w:p>
    <w:p w14:paraId="0C7942A6" w14:textId="77777777" w:rsidR="00005C3B" w:rsidRDefault="00005C3B" w:rsidP="0045525D">
      <w:pPr>
        <w:tabs>
          <w:tab w:val="right" w:pos="9026"/>
        </w:tabs>
        <w:spacing w:after="0"/>
        <w:rPr>
          <w:rFonts w:eastAsia="Times New Roman"/>
          <w:szCs w:val="24"/>
        </w:rPr>
      </w:pPr>
    </w:p>
    <w:p w14:paraId="23054065" w14:textId="69EB8C7B" w:rsidR="0045525D" w:rsidRPr="00CD7E7F" w:rsidRDefault="0045525D" w:rsidP="0045525D">
      <w:pPr>
        <w:tabs>
          <w:tab w:val="right" w:pos="9026"/>
        </w:tabs>
        <w:spacing w:after="0"/>
        <w:rPr>
          <w:rFonts w:eastAsia="Times New Roman"/>
          <w:szCs w:val="24"/>
        </w:rPr>
      </w:pPr>
      <w:r>
        <w:t>El anexo XVII del Reglamento (CE) n.º 1907/2006 se modifica como sigue:</w:t>
      </w:r>
    </w:p>
    <w:p w14:paraId="1B84254E" w14:textId="77777777" w:rsidR="0045525D" w:rsidRPr="00CD7E7F" w:rsidRDefault="0045525D" w:rsidP="0045525D">
      <w:pPr>
        <w:tabs>
          <w:tab w:val="right" w:pos="9026"/>
        </w:tabs>
        <w:rPr>
          <w:rFonts w:eastAsia="Times New Roman"/>
          <w:szCs w:val="24"/>
        </w:rPr>
      </w:pPr>
      <w:r>
        <w:t>1) Se añade la entrada siguiente:</w:t>
      </w:r>
    </w:p>
    <w:tbl>
      <w:tblPr>
        <w:tblW w:w="83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0"/>
        <w:gridCol w:w="5090"/>
      </w:tblGrid>
      <w:tr w:rsidR="0045525D" w:rsidRPr="00C53A2E" w14:paraId="10A627D3" w14:textId="77777777" w:rsidTr="00336657">
        <w:trPr>
          <w:trHeight w:val="360"/>
        </w:trPr>
        <w:tc>
          <w:tcPr>
            <w:tcW w:w="3300" w:type="dxa"/>
          </w:tcPr>
          <w:p w14:paraId="3797E72C" w14:textId="77777777" w:rsidR="00336657" w:rsidRPr="00F76D30" w:rsidRDefault="0045525D" w:rsidP="0012129F">
            <w:pPr>
              <w:autoSpaceDE w:val="0"/>
              <w:autoSpaceDN w:val="0"/>
              <w:adjustRightInd w:val="0"/>
              <w:spacing w:before="60" w:after="60" w:line="360" w:lineRule="auto"/>
              <w:jc w:val="left"/>
              <w:rPr>
                <w:rFonts w:eastAsia="Times New Roman"/>
                <w:bCs/>
                <w:szCs w:val="24"/>
                <w:lang w:val="fr-BE"/>
              </w:rPr>
            </w:pPr>
            <w:r w:rsidRPr="00F76D30">
              <w:rPr>
                <w:lang w:val="fr-BE"/>
              </w:rPr>
              <w:t xml:space="preserve">«xx. Formaldehído </w:t>
            </w:r>
          </w:p>
          <w:p w14:paraId="598C418C" w14:textId="77777777" w:rsidR="0012129F" w:rsidRPr="00F76D30" w:rsidRDefault="00336657" w:rsidP="0012129F">
            <w:pPr>
              <w:autoSpaceDE w:val="0"/>
              <w:autoSpaceDN w:val="0"/>
              <w:adjustRightInd w:val="0"/>
              <w:spacing w:before="60" w:after="0"/>
              <w:jc w:val="left"/>
              <w:rPr>
                <w:rFonts w:eastAsia="Times New Roman"/>
                <w:bCs/>
                <w:szCs w:val="24"/>
                <w:lang w:val="fr-BE"/>
              </w:rPr>
            </w:pPr>
            <w:r w:rsidRPr="00F76D30">
              <w:rPr>
                <w:lang w:val="fr-BE"/>
              </w:rPr>
              <w:t>Nº CAS 50-00-0</w:t>
            </w:r>
          </w:p>
          <w:p w14:paraId="74BB8B65" w14:textId="77777777" w:rsidR="00336657" w:rsidRPr="00F76D30" w:rsidRDefault="00336657" w:rsidP="00336657">
            <w:pPr>
              <w:autoSpaceDE w:val="0"/>
              <w:autoSpaceDN w:val="0"/>
              <w:adjustRightInd w:val="0"/>
              <w:spacing w:before="60" w:after="240"/>
              <w:jc w:val="left"/>
              <w:rPr>
                <w:rFonts w:eastAsia="Times New Roman"/>
                <w:bCs/>
                <w:szCs w:val="24"/>
                <w:lang w:val="fr-BE"/>
              </w:rPr>
            </w:pPr>
            <w:r w:rsidRPr="00F76D30">
              <w:rPr>
                <w:lang w:val="fr-BE"/>
              </w:rPr>
              <w:t>Nº CE 200-001-8</w:t>
            </w:r>
          </w:p>
          <w:p w14:paraId="59DFA557" w14:textId="3F3A7E6A" w:rsidR="0045525D" w:rsidRPr="00C53A2E" w:rsidRDefault="00336657" w:rsidP="00336657">
            <w:pPr>
              <w:autoSpaceDE w:val="0"/>
              <w:autoSpaceDN w:val="0"/>
              <w:adjustRightInd w:val="0"/>
              <w:spacing w:before="60" w:after="240"/>
              <w:jc w:val="left"/>
              <w:rPr>
                <w:rFonts w:eastAsia="Times New Roman"/>
                <w:bCs/>
                <w:szCs w:val="24"/>
              </w:rPr>
            </w:pPr>
            <w:r>
              <w:t xml:space="preserve">y sustancias que liberan formaldehído </w:t>
            </w:r>
          </w:p>
          <w:p w14:paraId="73D6D9FD" w14:textId="77777777" w:rsidR="0045525D" w:rsidRPr="00C53A2E" w:rsidRDefault="0045525D" w:rsidP="00336657">
            <w:pPr>
              <w:autoSpaceDE w:val="0"/>
              <w:autoSpaceDN w:val="0"/>
              <w:adjustRightInd w:val="0"/>
              <w:spacing w:before="60" w:after="240"/>
              <w:jc w:val="left"/>
              <w:rPr>
                <w:rFonts w:eastAsia="Times New Roman"/>
                <w:bCs/>
                <w:szCs w:val="24"/>
                <w:lang w:eastAsia="en-GB"/>
              </w:rPr>
            </w:pPr>
          </w:p>
          <w:p w14:paraId="1475A185" w14:textId="77777777" w:rsidR="0045525D" w:rsidRPr="00C53A2E" w:rsidRDefault="0045525D" w:rsidP="00336657">
            <w:pPr>
              <w:autoSpaceDE w:val="0"/>
              <w:autoSpaceDN w:val="0"/>
              <w:adjustRightInd w:val="0"/>
              <w:spacing w:before="60" w:after="240"/>
              <w:jc w:val="left"/>
              <w:rPr>
                <w:rFonts w:ascii="EUAlbertina" w:eastAsia="Times New Roman" w:hAnsi="EUAlbertina" w:cs="EUAlbertina"/>
                <w:i/>
                <w:color w:val="000000"/>
                <w:szCs w:val="24"/>
              </w:rPr>
            </w:pPr>
          </w:p>
        </w:tc>
        <w:tc>
          <w:tcPr>
            <w:tcW w:w="5090" w:type="dxa"/>
          </w:tcPr>
          <w:p w14:paraId="7FC2204A" w14:textId="77777777" w:rsidR="0045525D" w:rsidRPr="00C53A2E" w:rsidRDefault="0045525D" w:rsidP="00336657">
            <w:pPr>
              <w:ind w:left="360"/>
              <w:contextualSpacing/>
              <w:rPr>
                <w:rFonts w:eastAsia="Times New Roman"/>
                <w:szCs w:val="24"/>
              </w:rPr>
            </w:pPr>
          </w:p>
          <w:p w14:paraId="555DA0D5" w14:textId="27F8FAC7" w:rsidR="00C52B17" w:rsidRPr="00C53A2E" w:rsidRDefault="00336657" w:rsidP="00984417">
            <w:pPr>
              <w:widowControl w:val="0"/>
              <w:numPr>
                <w:ilvl w:val="0"/>
                <w:numId w:val="1"/>
              </w:numPr>
              <w:spacing w:before="0" w:line="259" w:lineRule="auto"/>
              <w:rPr>
                <w:rFonts w:eastAsia="Calibri"/>
                <w:szCs w:val="24"/>
              </w:rPr>
            </w:pPr>
            <w:r>
              <w:t>No se comercializarán en artículos, después del [</w:t>
            </w:r>
            <w:r>
              <w:rPr>
                <w:i/>
              </w:rPr>
              <w:t>OP: insértese la fecha:</w:t>
            </w:r>
            <w:r>
              <w:rPr>
                <w:i/>
                <w:snapToGrid w:val="0"/>
              </w:rPr>
              <w:t xml:space="preserve"> </w:t>
            </w:r>
            <w:r>
              <w:rPr>
                <w:i/>
              </w:rPr>
              <w:t>treinta y seis meses después de la fecha de entrada en vigor del presente Reglamento modificativo</w:t>
            </w:r>
            <w:r>
              <w:t>] si, en las condiciones de ensayo especificadas en el apéndice [X], la concentración de formaldehído liberado de ellos supera los valores siguientes:</w:t>
            </w:r>
          </w:p>
          <w:p w14:paraId="03EFDF3A" w14:textId="2A75392E" w:rsidR="00C52B17" w:rsidRPr="005869AA" w:rsidRDefault="00B44329" w:rsidP="00400EAA">
            <w:pPr>
              <w:widowControl w:val="0"/>
              <w:spacing w:before="0" w:line="259" w:lineRule="auto"/>
              <w:ind w:left="357"/>
              <w:rPr>
                <w:rFonts w:eastAsia="Calibri"/>
                <w:szCs w:val="24"/>
              </w:rPr>
            </w:pPr>
            <w:r>
              <w:t xml:space="preserve">a) 0,062 mg/m³ para los muebles y los artículos de madera; </w:t>
            </w:r>
          </w:p>
          <w:p w14:paraId="2453715D" w14:textId="475BBD00" w:rsidR="00A85881" w:rsidRDefault="00B44329" w:rsidP="00A85881">
            <w:pPr>
              <w:widowControl w:val="0"/>
              <w:spacing w:before="0" w:after="240" w:line="259" w:lineRule="auto"/>
              <w:ind w:left="357"/>
              <w:rPr>
                <w:rFonts w:eastAsia="Calibri"/>
                <w:szCs w:val="24"/>
              </w:rPr>
            </w:pPr>
            <w:r>
              <w:t>b) 0,080 mg/m³ para los artículos distintos de los muebles y los artículos de madera.</w:t>
            </w:r>
          </w:p>
          <w:p w14:paraId="3030C697" w14:textId="77777777" w:rsidR="00E93113" w:rsidRDefault="00E93113" w:rsidP="00400EAA">
            <w:pPr>
              <w:widowControl w:val="0"/>
              <w:spacing w:before="0" w:line="259" w:lineRule="auto"/>
              <w:ind w:left="357"/>
              <w:rPr>
                <w:rFonts w:eastAsia="Calibri"/>
                <w:szCs w:val="24"/>
              </w:rPr>
            </w:pPr>
            <w:r>
              <w:t xml:space="preserve">El párrafo primero no se aplicará a lo siguiente: </w:t>
            </w:r>
          </w:p>
          <w:p w14:paraId="5A3F6579" w14:textId="77777777" w:rsidR="00BA4A9F" w:rsidRPr="00C53A2E" w:rsidRDefault="00BA4A9F" w:rsidP="00F76D30">
            <w:pPr>
              <w:widowControl w:val="0"/>
              <w:numPr>
                <w:ilvl w:val="1"/>
                <w:numId w:val="16"/>
              </w:numPr>
              <w:spacing w:before="0" w:line="259" w:lineRule="auto"/>
              <w:ind w:left="694" w:hanging="284"/>
              <w:rPr>
                <w:rFonts w:eastAsia="Calibri"/>
                <w:szCs w:val="24"/>
              </w:rPr>
            </w:pPr>
            <w:r>
              <w:t>artículos en los que el formaldehído o las sustancias que liberan formaldehído estén presentes exclusivamente de forma natural en los materiales a partir de los cuales se producen tales artículos;</w:t>
            </w:r>
          </w:p>
          <w:p w14:paraId="4D24ABE5" w14:textId="719670A5" w:rsidR="000740E8" w:rsidRDefault="00E93113" w:rsidP="00F76D30">
            <w:pPr>
              <w:widowControl w:val="0"/>
              <w:numPr>
                <w:ilvl w:val="1"/>
                <w:numId w:val="16"/>
              </w:numPr>
              <w:spacing w:before="0" w:line="259" w:lineRule="auto"/>
              <w:ind w:left="694" w:hanging="284"/>
              <w:rPr>
                <w:rFonts w:eastAsia="Calibri"/>
                <w:szCs w:val="24"/>
              </w:rPr>
            </w:pPr>
            <w:r>
              <w:t>artículos que se utilicen exclusivamente al aire libre en condiciones previsibles;</w:t>
            </w:r>
          </w:p>
          <w:p w14:paraId="12E36156" w14:textId="3C52B3DD" w:rsidR="00E93113" w:rsidRPr="008926E9" w:rsidRDefault="008926E9" w:rsidP="00F76D30">
            <w:pPr>
              <w:widowControl w:val="0"/>
              <w:numPr>
                <w:ilvl w:val="1"/>
                <w:numId w:val="16"/>
              </w:numPr>
              <w:spacing w:before="0" w:line="259" w:lineRule="auto"/>
              <w:ind w:left="694" w:hanging="284"/>
              <w:rPr>
                <w:rFonts w:eastAsia="Calibri"/>
                <w:szCs w:val="24"/>
              </w:rPr>
            </w:pPr>
            <w:r>
              <w:t xml:space="preserve">artículos en construcciones, que se utilicen exclusivamente </w:t>
            </w:r>
            <w:r w:rsidR="0043664F">
              <w:t>fuera del revestimiento</w:t>
            </w:r>
            <w:r>
              <w:t xml:space="preserve"> del edificio y d</w:t>
            </w:r>
            <w:bookmarkStart w:id="1" w:name="_GoBack"/>
            <w:bookmarkEnd w:id="1"/>
            <w:r>
              <w:t>e la barrera de vapor y que no emitan formaldehído en el aire en interiores;</w:t>
            </w:r>
          </w:p>
          <w:p w14:paraId="3819DE5C" w14:textId="77777777" w:rsidR="00E93113" w:rsidRPr="00C53A2E" w:rsidRDefault="00E93113" w:rsidP="00F76D30">
            <w:pPr>
              <w:widowControl w:val="0"/>
              <w:numPr>
                <w:ilvl w:val="1"/>
                <w:numId w:val="16"/>
              </w:numPr>
              <w:spacing w:before="0" w:line="259" w:lineRule="auto"/>
              <w:ind w:left="694" w:hanging="284"/>
              <w:rPr>
                <w:rFonts w:eastAsia="Calibri"/>
                <w:szCs w:val="24"/>
              </w:rPr>
            </w:pPr>
            <w:r>
              <w:t>artículos destinados exclusivamente a usos industriales o profesionales, a menos que el formaldehído liberado de ellos dé lugar a la exposición del público en general en condiciones de uso previsibles;</w:t>
            </w:r>
          </w:p>
          <w:p w14:paraId="53743927" w14:textId="1925E03B" w:rsidR="00E93113" w:rsidRPr="00C53A2E" w:rsidRDefault="00E93113" w:rsidP="00F76D30">
            <w:pPr>
              <w:widowControl w:val="0"/>
              <w:numPr>
                <w:ilvl w:val="1"/>
                <w:numId w:val="16"/>
              </w:numPr>
              <w:spacing w:before="0" w:line="259" w:lineRule="auto"/>
              <w:ind w:left="694" w:hanging="284"/>
              <w:rPr>
                <w:rFonts w:eastAsia="Calibri"/>
                <w:szCs w:val="24"/>
              </w:rPr>
            </w:pPr>
            <w:r>
              <w:t>artículos a los que se aplique la restricción establecida en la entrada 72;</w:t>
            </w:r>
          </w:p>
          <w:p w14:paraId="2CC15CD1" w14:textId="77777777" w:rsidR="00E93113" w:rsidRPr="00C53A2E" w:rsidRDefault="00E93113" w:rsidP="00F76D30">
            <w:pPr>
              <w:widowControl w:val="0"/>
              <w:numPr>
                <w:ilvl w:val="1"/>
                <w:numId w:val="16"/>
              </w:numPr>
              <w:spacing w:before="0" w:line="259" w:lineRule="auto"/>
              <w:ind w:left="694" w:hanging="284"/>
              <w:rPr>
                <w:rFonts w:eastAsia="Calibri"/>
                <w:szCs w:val="24"/>
              </w:rPr>
            </w:pPr>
            <w:r>
              <w:t>artículos que son biocidas incluidos en el ámbito de aplicación del Reglamento (UE) n.º 528/2012 del Parlamento Europeo y del Consejo*;</w:t>
            </w:r>
          </w:p>
          <w:p w14:paraId="11129AFD" w14:textId="77777777" w:rsidR="00E93113" w:rsidRPr="00C53A2E" w:rsidRDefault="00E93113" w:rsidP="00F76D30">
            <w:pPr>
              <w:widowControl w:val="0"/>
              <w:numPr>
                <w:ilvl w:val="1"/>
                <w:numId w:val="16"/>
              </w:numPr>
              <w:spacing w:before="0" w:line="259" w:lineRule="auto"/>
              <w:ind w:left="694" w:hanging="284"/>
              <w:rPr>
                <w:rFonts w:eastAsia="Calibri"/>
                <w:szCs w:val="24"/>
              </w:rPr>
            </w:pPr>
            <w:r>
              <w:t xml:space="preserve">productos incluidos en el ámbito de </w:t>
            </w:r>
            <w:r>
              <w:lastRenderedPageBreak/>
              <w:t>aplicación del Reglamento (UE) 2017/745;</w:t>
            </w:r>
          </w:p>
          <w:p w14:paraId="11D0A651" w14:textId="77777777" w:rsidR="00E93113" w:rsidRPr="00C53A2E" w:rsidRDefault="00E93113" w:rsidP="00F76D30">
            <w:pPr>
              <w:widowControl w:val="0"/>
              <w:numPr>
                <w:ilvl w:val="1"/>
                <w:numId w:val="16"/>
              </w:numPr>
              <w:spacing w:before="0" w:line="259" w:lineRule="auto"/>
              <w:ind w:left="694" w:hanging="284"/>
              <w:rPr>
                <w:rFonts w:eastAsia="Calibri"/>
                <w:szCs w:val="24"/>
              </w:rPr>
            </w:pPr>
            <w:r>
              <w:t>equipos de protección individual incluidos en el ámbito de aplicación del Reglamento (UE) 2016/425;</w:t>
            </w:r>
          </w:p>
          <w:p w14:paraId="0C893311" w14:textId="77777777" w:rsidR="00E93113" w:rsidRPr="000B591F" w:rsidRDefault="00E93113" w:rsidP="00F76D30">
            <w:pPr>
              <w:widowControl w:val="0"/>
              <w:numPr>
                <w:ilvl w:val="1"/>
                <w:numId w:val="16"/>
              </w:numPr>
              <w:spacing w:before="0" w:line="259" w:lineRule="auto"/>
              <w:ind w:left="694" w:hanging="284"/>
              <w:rPr>
                <w:rFonts w:eastAsia="Calibri"/>
                <w:szCs w:val="24"/>
              </w:rPr>
            </w:pPr>
            <w:r>
              <w:t>objetos destinados a entrar en contacto directo o indirecto con alimentos, incluidos en el ámbito de aplicación del Reglamento (CE) n.º 1935/2004;</w:t>
            </w:r>
          </w:p>
          <w:p w14:paraId="0678CB27" w14:textId="77777777" w:rsidR="00E93113" w:rsidRDefault="00E93113" w:rsidP="00F76D30">
            <w:pPr>
              <w:widowControl w:val="0"/>
              <w:numPr>
                <w:ilvl w:val="1"/>
                <w:numId w:val="16"/>
              </w:numPr>
              <w:spacing w:before="0" w:line="259" w:lineRule="auto"/>
              <w:ind w:left="694" w:hanging="284"/>
              <w:rPr>
                <w:rFonts w:eastAsia="Calibri"/>
                <w:szCs w:val="24"/>
              </w:rPr>
            </w:pPr>
            <w:r>
              <w:t xml:space="preserve"> artículos de segunda mano.</w:t>
            </w:r>
          </w:p>
          <w:p w14:paraId="63163E94" w14:textId="77777777" w:rsidR="00E93113" w:rsidRPr="00C53A2E" w:rsidRDefault="00E93113" w:rsidP="00400EAA">
            <w:pPr>
              <w:widowControl w:val="0"/>
              <w:spacing w:before="0" w:line="259" w:lineRule="auto"/>
              <w:rPr>
                <w:rFonts w:eastAsia="Calibri"/>
                <w:szCs w:val="24"/>
              </w:rPr>
            </w:pPr>
          </w:p>
          <w:p w14:paraId="676BA26F" w14:textId="26F14A9C" w:rsidR="0045525D" w:rsidRPr="00C53A2E" w:rsidRDefault="007A30EC" w:rsidP="00400EAA">
            <w:pPr>
              <w:widowControl w:val="0"/>
              <w:numPr>
                <w:ilvl w:val="0"/>
                <w:numId w:val="1"/>
              </w:numPr>
              <w:spacing w:before="0" w:after="240" w:line="259" w:lineRule="auto"/>
              <w:rPr>
                <w:rFonts w:eastAsia="Calibri"/>
                <w:szCs w:val="24"/>
              </w:rPr>
            </w:pPr>
            <w:r>
              <w:t>No se comercializarán en vehículos de carretera después del [</w:t>
            </w:r>
            <w:r>
              <w:rPr>
                <w:i/>
              </w:rPr>
              <w:t>OP: insértese la fecha: cuarenta y ocho meses después de la fecha de entrada en vigor del presente Reglamento modificativo</w:t>
            </w:r>
            <w:r>
              <w:t>] si, en las condiciones de ensayo especificadas en el apéndice [X], la concentración de formaldehído en su interior supera los 0,062 mg/m³.</w:t>
            </w:r>
          </w:p>
          <w:p w14:paraId="27436108" w14:textId="77777777" w:rsidR="00F177D7" w:rsidRPr="00C53A2E" w:rsidRDefault="00E93113" w:rsidP="00F17F3F">
            <w:pPr>
              <w:widowControl w:val="0"/>
              <w:spacing w:before="0" w:line="259" w:lineRule="auto"/>
              <w:ind w:left="357"/>
              <w:rPr>
                <w:rFonts w:eastAsia="Calibri"/>
                <w:szCs w:val="24"/>
              </w:rPr>
            </w:pPr>
            <w:r>
              <w:t xml:space="preserve">El párrafo primero no se aplicará a lo siguiente: </w:t>
            </w:r>
          </w:p>
          <w:p w14:paraId="5EEE282D" w14:textId="77777777" w:rsidR="00F177D7" w:rsidRPr="00C53A2E" w:rsidRDefault="00F177D7" w:rsidP="00F76D30">
            <w:pPr>
              <w:widowControl w:val="0"/>
              <w:numPr>
                <w:ilvl w:val="1"/>
                <w:numId w:val="15"/>
              </w:numPr>
              <w:spacing w:before="0" w:line="259" w:lineRule="auto"/>
              <w:ind w:left="694" w:hanging="284"/>
              <w:rPr>
                <w:rFonts w:eastAsia="Calibri"/>
                <w:szCs w:val="24"/>
              </w:rPr>
            </w:pPr>
            <w:r>
              <w:t>vehículos de carretera destinados exclusivamente a usos industriales o profesionales, a menos que la concentración de formaldehído en su interior dé lugar a la exposición del público en general en condiciones de uso previsibles;</w:t>
            </w:r>
          </w:p>
          <w:p w14:paraId="71882FFE" w14:textId="4A9EACFA" w:rsidR="00F177D7" w:rsidRPr="00C53A2E" w:rsidRDefault="00861E87" w:rsidP="00F76D30">
            <w:pPr>
              <w:widowControl w:val="0"/>
              <w:numPr>
                <w:ilvl w:val="1"/>
                <w:numId w:val="15"/>
              </w:numPr>
              <w:spacing w:before="0" w:line="259" w:lineRule="auto"/>
              <w:ind w:left="694" w:hanging="284"/>
              <w:rPr>
                <w:rFonts w:eastAsia="Calibri"/>
                <w:szCs w:val="24"/>
              </w:rPr>
            </w:pPr>
            <w:r>
              <w:t>vehículos de segunda mano.</w:t>
            </w:r>
          </w:p>
        </w:tc>
      </w:tr>
    </w:tbl>
    <w:p w14:paraId="51528991" w14:textId="77777777" w:rsidR="00065182" w:rsidRDefault="00065182" w:rsidP="00EE341E">
      <w:pPr>
        <w:pBdr>
          <w:bottom w:val="single" w:sz="6" w:space="1" w:color="auto"/>
        </w:pBdr>
        <w:autoSpaceDE w:val="0"/>
        <w:autoSpaceDN w:val="0"/>
        <w:adjustRightInd w:val="0"/>
        <w:spacing w:before="60" w:after="240"/>
        <w:jc w:val="left"/>
        <w:rPr>
          <w:rFonts w:eastAsia="Times New Roman"/>
          <w:color w:val="000000"/>
          <w:szCs w:val="24"/>
        </w:rPr>
      </w:pPr>
    </w:p>
    <w:p w14:paraId="1841D2A3" w14:textId="421217F7" w:rsidR="006B2FC0" w:rsidRPr="00005C3B" w:rsidRDefault="00065182" w:rsidP="00005C3B">
      <w:pPr>
        <w:autoSpaceDE w:val="0"/>
        <w:autoSpaceDN w:val="0"/>
        <w:adjustRightInd w:val="0"/>
        <w:spacing w:before="60" w:after="240"/>
        <w:jc w:val="left"/>
        <w:rPr>
          <w:rFonts w:eastAsia="Times New Roman"/>
          <w:color w:val="000000"/>
          <w:szCs w:val="24"/>
        </w:rPr>
      </w:pPr>
      <w:r>
        <w:rPr>
          <w:color w:val="000000"/>
        </w:rPr>
        <w:t>*</w:t>
      </w:r>
      <w:r>
        <w:tab/>
      </w:r>
      <w:r>
        <w:rPr>
          <w:color w:val="000000"/>
        </w:rPr>
        <w:t>Reglamento (UE) n.º 528/2012 del Parlamento Europeo y del Consejo, de 22 de mayo de 2012, relativo a la comercialización y el uso de los biocidas (DO L 167 de 27.6.2012, p. 1).».</w:t>
      </w:r>
    </w:p>
    <w:p w14:paraId="303A76E8" w14:textId="77777777" w:rsidR="003845DB" w:rsidRPr="00C53A2E" w:rsidRDefault="003845DB" w:rsidP="0050783E">
      <w:pPr>
        <w:spacing w:before="0" w:after="200" w:line="276" w:lineRule="auto"/>
        <w:rPr>
          <w:rFonts w:asciiTheme="minorHAnsi" w:hAnsiTheme="minorHAnsi" w:cstheme="minorBidi"/>
          <w:sz w:val="22"/>
        </w:rPr>
      </w:pPr>
    </w:p>
    <w:p w14:paraId="4DF064E4" w14:textId="77777777" w:rsidR="0045525D" w:rsidRPr="00C53A2E" w:rsidRDefault="004464F0" w:rsidP="0045525D">
      <w:pPr>
        <w:spacing w:before="0" w:after="200" w:line="276" w:lineRule="auto"/>
        <w:jc w:val="left"/>
        <w:rPr>
          <w:szCs w:val="24"/>
        </w:rPr>
      </w:pPr>
      <w:r>
        <w:t>2) Se añade el apéndice [X] siguiente:</w:t>
      </w:r>
    </w:p>
    <w:p w14:paraId="1A5B6B07" w14:textId="77777777" w:rsidR="0045525D" w:rsidRPr="00C53A2E" w:rsidRDefault="0045525D" w:rsidP="0045525D">
      <w:pPr>
        <w:spacing w:before="0" w:after="200" w:line="276" w:lineRule="auto"/>
        <w:jc w:val="left"/>
        <w:rPr>
          <w:szCs w:val="24"/>
        </w:rPr>
      </w:pPr>
    </w:p>
    <w:p w14:paraId="4025AA1C" w14:textId="77777777" w:rsidR="0045525D" w:rsidRPr="00C53A2E" w:rsidRDefault="004464F0" w:rsidP="0045525D">
      <w:pPr>
        <w:spacing w:before="0" w:after="200" w:line="276" w:lineRule="auto"/>
        <w:jc w:val="center"/>
        <w:rPr>
          <w:szCs w:val="24"/>
        </w:rPr>
      </w:pPr>
      <w:r>
        <w:t>«Apéndice [X]</w:t>
      </w:r>
    </w:p>
    <w:p w14:paraId="7FFBC158" w14:textId="77777777" w:rsidR="00DD2FEA" w:rsidRPr="00C53A2E" w:rsidRDefault="00DD2FEA" w:rsidP="006556CE">
      <w:pPr>
        <w:spacing w:before="0" w:after="200" w:line="276" w:lineRule="auto"/>
        <w:rPr>
          <w:szCs w:val="24"/>
        </w:rPr>
      </w:pPr>
    </w:p>
    <w:p w14:paraId="7835509D" w14:textId="77777777" w:rsidR="00DD2FEA" w:rsidRPr="00C53A2E" w:rsidRDefault="00DD2FEA" w:rsidP="006556CE">
      <w:pPr>
        <w:spacing w:before="0" w:after="200" w:line="276" w:lineRule="auto"/>
        <w:rPr>
          <w:b/>
          <w:szCs w:val="24"/>
        </w:rPr>
      </w:pPr>
      <w:r>
        <w:rPr>
          <w:b/>
        </w:rPr>
        <w:t>1. Medición del formaldehído liberado al aire en interiores por los artículos a que se refiere el punto 1, párrafo primero, de la entrada [xx]</w:t>
      </w:r>
    </w:p>
    <w:p w14:paraId="52258756" w14:textId="77777777" w:rsidR="00DD2FEA" w:rsidRPr="00C53A2E" w:rsidRDefault="00DD2FEA" w:rsidP="006556CE">
      <w:pPr>
        <w:spacing w:before="0" w:after="200" w:line="276" w:lineRule="auto"/>
        <w:rPr>
          <w:szCs w:val="24"/>
        </w:rPr>
      </w:pPr>
      <w:r>
        <w:lastRenderedPageBreak/>
        <w:t>El formaldehído liberado por los artículos contemplados en el punto 1, párrafo primero, de la entrada [xx] se medirá en el aire de una cámara de ensayo en las condiciones acumuladas de referencia siguientes:</w:t>
      </w:r>
    </w:p>
    <w:p w14:paraId="04C5D08D" w14:textId="77777777" w:rsidR="00DD2FEA" w:rsidRPr="00C53A2E" w:rsidRDefault="001F2B33" w:rsidP="006556CE">
      <w:pPr>
        <w:spacing w:before="0" w:after="200" w:line="276" w:lineRule="auto"/>
        <w:rPr>
          <w:szCs w:val="24"/>
        </w:rPr>
      </w:pPr>
      <w:r>
        <w:t xml:space="preserve">a) la temperatura en la cámara de ensayo será de (23 ± 0,5) °C; </w:t>
      </w:r>
    </w:p>
    <w:p w14:paraId="33DE70B0" w14:textId="77777777" w:rsidR="00DD2FEA" w:rsidRPr="00C53A2E" w:rsidRDefault="001F2B33" w:rsidP="006556CE">
      <w:pPr>
        <w:spacing w:before="0" w:after="200" w:line="276" w:lineRule="auto"/>
        <w:rPr>
          <w:szCs w:val="24"/>
        </w:rPr>
      </w:pPr>
      <w:r>
        <w:t xml:space="preserve">b) la humedad relativa en la cámara de ensayo será de (45 ± 3) %; </w:t>
      </w:r>
    </w:p>
    <w:p w14:paraId="7795E401" w14:textId="005C959C" w:rsidR="00DD2FEA" w:rsidRPr="00C53A2E" w:rsidRDefault="001F2B33" w:rsidP="006556CE">
      <w:pPr>
        <w:spacing w:before="0" w:after="200" w:line="276" w:lineRule="auto"/>
        <w:rPr>
          <w:szCs w:val="24"/>
        </w:rPr>
      </w:pPr>
      <w:r>
        <w:t>c) el factor de carga, expresado como la relación de la superficie total de la pieza de ensayo con el volumen de la cámara de ensayo, será de (1 ± 0,02) m</w:t>
      </w:r>
      <w:r>
        <w:rPr>
          <w:vertAlign w:val="superscript"/>
        </w:rPr>
        <w:t>2</w:t>
      </w:r>
      <w:r>
        <w:t>/m</w:t>
      </w:r>
      <w:r>
        <w:rPr>
          <w:vertAlign w:val="superscript"/>
        </w:rPr>
        <w:t>3</w:t>
      </w:r>
      <w:r>
        <w:t>. Este factor de carga corresponde al ensayo de los tableros de madera; para otros materiales o productos, si está claro que el factor de carga no es realista en las condiciones de uso previsibles, podrán utilizarse factores de carga de conformidad con el punto 4.2.2 de la norma EN 16516</w:t>
      </w:r>
      <w:r>
        <w:rPr>
          <w:rStyle w:val="FootnoteReference"/>
          <w:szCs w:val="24"/>
        </w:rPr>
        <w:footnoteReference w:id="2"/>
      </w:r>
      <w:r>
        <w:t>;</w:t>
      </w:r>
    </w:p>
    <w:p w14:paraId="4C58F2EC" w14:textId="77777777" w:rsidR="00DD2FEA" w:rsidRPr="00C53A2E" w:rsidRDefault="001F2B33" w:rsidP="006556CE">
      <w:pPr>
        <w:spacing w:before="0" w:after="200" w:line="276" w:lineRule="auto"/>
        <w:rPr>
          <w:szCs w:val="24"/>
        </w:rPr>
      </w:pPr>
      <w:r>
        <w:t>d) la tasa de intercambio de aire en la cámara de ensayo será de (1 ± 0,05) h</w:t>
      </w:r>
      <w:r>
        <w:rPr>
          <w:vertAlign w:val="superscript"/>
        </w:rPr>
        <w:t>-1</w:t>
      </w:r>
      <w:r>
        <w:t xml:space="preserve">; </w:t>
      </w:r>
    </w:p>
    <w:p w14:paraId="0B6C2B9E" w14:textId="369BE9B5" w:rsidR="00DD2FEA" w:rsidRPr="00C53A2E" w:rsidRDefault="001F2B33" w:rsidP="006556CE">
      <w:pPr>
        <w:spacing w:before="0" w:after="200" w:line="276" w:lineRule="auto"/>
        <w:rPr>
          <w:szCs w:val="24"/>
        </w:rPr>
      </w:pPr>
      <w:r>
        <w:t xml:space="preserve">e) se utilizará un procedimiento analítico adecuado para medir la concentración de formaldehído en la cámara de ensayo; </w:t>
      </w:r>
    </w:p>
    <w:p w14:paraId="4FD204BE" w14:textId="77777777" w:rsidR="00DD2FEA" w:rsidRPr="00C53A2E" w:rsidRDefault="001F2B33" w:rsidP="006556CE">
      <w:pPr>
        <w:spacing w:before="0" w:after="200" w:line="276" w:lineRule="auto"/>
        <w:rPr>
          <w:szCs w:val="24"/>
        </w:rPr>
      </w:pPr>
      <w:r>
        <w:t xml:space="preserve">f) se utilizará un método adecuado para el muestreo de las piezas de ensayo; </w:t>
      </w:r>
    </w:p>
    <w:p w14:paraId="470CDDA4" w14:textId="77777777" w:rsidR="00DD2FEA" w:rsidRPr="00C53A2E" w:rsidRDefault="001F2B33" w:rsidP="006556CE">
      <w:pPr>
        <w:spacing w:before="0" w:after="200" w:line="276" w:lineRule="auto"/>
        <w:rPr>
          <w:szCs w:val="24"/>
        </w:rPr>
      </w:pPr>
      <w:r>
        <w:t xml:space="preserve">g) la concentración de formaldehído en el aire de la cámara de ensayo se medirá al menos dos veces al día durante todo el ensayo, con un intervalo de tiempo entre dos muestreos consecutivos de tres horas como mínimo; se repetirá la medición hasta que se disponga de datos suficientes para determinar la concentración en condiciones estables; </w:t>
      </w:r>
    </w:p>
    <w:p w14:paraId="539FB6A4" w14:textId="77777777" w:rsidR="00DD2FEA" w:rsidRPr="00C53A2E" w:rsidRDefault="001F2B33" w:rsidP="006556CE">
      <w:pPr>
        <w:spacing w:before="0" w:after="200" w:line="276" w:lineRule="auto"/>
        <w:rPr>
          <w:szCs w:val="24"/>
        </w:rPr>
      </w:pPr>
      <w:r>
        <w:t xml:space="preserve">h) la duración del ensayo será lo suficientemente larga como para que se pueda determinar la concentración en condiciones estables y no excederá de veintiocho días; </w:t>
      </w:r>
    </w:p>
    <w:p w14:paraId="26E5544D" w14:textId="30CBDB6D" w:rsidR="00DD2FEA" w:rsidRPr="00C53A2E" w:rsidRDefault="001F2B33" w:rsidP="007B7229">
      <w:pPr>
        <w:spacing w:before="0" w:after="240" w:line="276" w:lineRule="auto"/>
        <w:rPr>
          <w:szCs w:val="24"/>
        </w:rPr>
      </w:pPr>
      <w:r>
        <w:t xml:space="preserve">i) la concentración de formaldehído en condiciones estables medida en la cámara de ensayo se utilizará para verificar el cumplimiento del valor límite de formaldehído liberado por los artículos contemplados en el punto 1, párrafo primero, de la entrada [xx]. </w:t>
      </w:r>
    </w:p>
    <w:p w14:paraId="39042FF4" w14:textId="359C696A" w:rsidR="00DD2FEA" w:rsidRPr="00C53A2E" w:rsidRDefault="00DD2FEA" w:rsidP="00B520EC">
      <w:pPr>
        <w:spacing w:before="0" w:after="240" w:line="276" w:lineRule="auto"/>
        <w:rPr>
          <w:szCs w:val="24"/>
        </w:rPr>
      </w:pPr>
      <w:r>
        <w:t xml:space="preserve">Si los datos de un método de ensayo que utilice las condiciones de referencia aquí especificadas no están disponibles o no son adecuados para la medición del formaldehído liberado por un artículo específico, podrán emplearse datos obtenidos de un método de ensayo que utilice condiciones distintas de las de referencia, cuando exista una correlación científicamente válida entre los resultados del método de ensayo utilizado y las condiciones de referencia.  </w:t>
      </w:r>
    </w:p>
    <w:p w14:paraId="70B0771C" w14:textId="77777777" w:rsidR="00DD2FEA" w:rsidRPr="00C53A2E" w:rsidRDefault="00083F8F" w:rsidP="006556CE">
      <w:pPr>
        <w:spacing w:before="0" w:after="200" w:line="276" w:lineRule="auto"/>
        <w:rPr>
          <w:b/>
          <w:szCs w:val="24"/>
        </w:rPr>
      </w:pPr>
      <w:r>
        <w:rPr>
          <w:b/>
        </w:rPr>
        <w:t xml:space="preserve">2. Medición de la concentración de formaldehído en el interior de los vehículos a que se refiere el punto 2, párrafo primero, de la entrada [xx] </w:t>
      </w:r>
    </w:p>
    <w:p w14:paraId="3CD65459" w14:textId="4C84DEA6" w:rsidR="00DD2FEA" w:rsidRPr="00A74522" w:rsidRDefault="00DD2FEA" w:rsidP="006556CE">
      <w:pPr>
        <w:spacing w:before="0" w:after="200" w:line="276" w:lineRule="auto"/>
        <w:rPr>
          <w:szCs w:val="24"/>
        </w:rPr>
      </w:pPr>
      <w:r>
        <w:t xml:space="preserve">En el caso de los vehículos de carretera, incluidos camiones y autobuses, la concentración de formaldehído se medirá en modo ambiente de conformidad con las condiciones especificadas </w:t>
      </w:r>
      <w:r>
        <w:lastRenderedPageBreak/>
        <w:t>en las normas ISO 12219-1</w:t>
      </w:r>
      <w:r>
        <w:rPr>
          <w:rStyle w:val="FootnoteReference"/>
          <w:szCs w:val="24"/>
        </w:rPr>
        <w:footnoteReference w:id="3"/>
      </w:r>
      <w:r>
        <w:t xml:space="preserve"> o ISO 12219-10</w:t>
      </w:r>
      <w:r>
        <w:rPr>
          <w:rStyle w:val="FootnoteReference"/>
          <w:szCs w:val="24"/>
        </w:rPr>
        <w:footnoteReference w:id="4"/>
      </w:r>
      <w:r>
        <w:t>, y la concentración medida se utilizará para verificar el cumplimiento del valor límite contemplado en el punto 2, párrafo primero, de la entrada [xx].».</w:t>
      </w:r>
    </w:p>
    <w:p w14:paraId="056EB8D2" w14:textId="77777777" w:rsidR="00336657" w:rsidRPr="00A74522" w:rsidRDefault="00336657" w:rsidP="006556CE">
      <w:pPr>
        <w:rPr>
          <w:szCs w:val="24"/>
        </w:rPr>
      </w:pPr>
    </w:p>
    <w:sectPr w:rsidR="00336657" w:rsidRPr="00A74522" w:rsidSect="00F155D9">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6BB78" w16cex:dateUtc="2022-06-17T05:36:00Z"/>
  <w16cex:commentExtensible w16cex:durableId="2656BD2B" w16cex:dateUtc="2022-06-17T0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7D1E03" w16cid:durableId="2656BB5C"/>
  <w16cid:commentId w16cid:paraId="2EC4DE68" w16cid:durableId="2656BB78"/>
  <w16cid:commentId w16cid:paraId="52FA2A2F" w16cid:durableId="2656BB5D"/>
  <w16cid:commentId w16cid:paraId="7D62B67E" w16cid:durableId="2656BD2B"/>
  <w16cid:commentId w16cid:paraId="5713AA82" w16cid:durableId="2656BB5E"/>
  <w16cid:commentId w16cid:paraId="1A3E12C7" w16cid:durableId="2656BB5F"/>
  <w16cid:commentId w16cid:paraId="257DD604" w16cid:durableId="2656BB60"/>
  <w16cid:commentId w16cid:paraId="762888D9" w16cid:durableId="2656BB61"/>
  <w16cid:commentId w16cid:paraId="25608332" w16cid:durableId="2656BB62"/>
  <w16cid:commentId w16cid:paraId="44C59140" w16cid:durableId="2656BB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3A174" w14:textId="77777777" w:rsidR="003246EA" w:rsidRDefault="003246EA" w:rsidP="0045525D">
      <w:pPr>
        <w:spacing w:before="0" w:after="0"/>
      </w:pPr>
      <w:r>
        <w:separator/>
      </w:r>
    </w:p>
  </w:endnote>
  <w:endnote w:type="continuationSeparator" w:id="0">
    <w:p w14:paraId="7B392279" w14:textId="77777777" w:rsidR="003246EA" w:rsidRDefault="003246EA" w:rsidP="0045525D">
      <w:pPr>
        <w:spacing w:before="0" w:after="0"/>
      </w:pPr>
      <w:r>
        <w:continuationSeparator/>
      </w:r>
    </w:p>
  </w:endnote>
  <w:endnote w:type="continuationNotice" w:id="1">
    <w:p w14:paraId="5D9562F9" w14:textId="77777777" w:rsidR="003246EA" w:rsidRDefault="003246E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B3F8D" w14:textId="77777777" w:rsidR="00554D84" w:rsidRDefault="00554D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6D191" w14:textId="5DF83522" w:rsidR="008C228E" w:rsidRPr="008C228E" w:rsidRDefault="008C228E" w:rsidP="008C228E">
    <w:pPr>
      <w:pStyle w:val="FooterCoverPage"/>
      <w:rPr>
        <w:rFonts w:ascii="Arial" w:hAnsi="Arial" w:cs="Arial"/>
        <w:b/>
        <w:sz w:val="48"/>
      </w:rPr>
    </w:pPr>
    <w:r w:rsidRPr="008C228E">
      <w:rPr>
        <w:rFonts w:ascii="Arial" w:hAnsi="Arial" w:cs="Arial"/>
        <w:b/>
        <w:sz w:val="48"/>
      </w:rPr>
      <w:t>ES</w:t>
    </w:r>
    <w:r w:rsidRPr="008C228E">
      <w:rPr>
        <w:rFonts w:ascii="Arial" w:hAnsi="Arial" w:cs="Arial"/>
        <w:b/>
        <w:sz w:val="48"/>
      </w:rPr>
      <w:tab/>
    </w:r>
    <w:r w:rsidRPr="008C228E">
      <w:rPr>
        <w:rFonts w:ascii="Arial" w:hAnsi="Arial" w:cs="Arial"/>
        <w:b/>
        <w:sz w:val="48"/>
      </w:rPr>
      <w:tab/>
    </w:r>
    <w:r w:rsidRPr="008C228E">
      <w:tab/>
    </w:r>
    <w:r w:rsidRPr="008C228E">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0302F" w14:textId="77777777" w:rsidR="00554D84" w:rsidRDefault="00554D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ED057" w14:textId="77777777" w:rsidR="00336657" w:rsidRDefault="0033665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1A2E4" w14:textId="5012014E" w:rsidR="00336657" w:rsidRPr="008F2ED4" w:rsidRDefault="00336657" w:rsidP="008F2ED4">
    <w:pPr>
      <w:pStyle w:val="Footer"/>
    </w:pPr>
    <w:r>
      <w:rPr>
        <w:rFonts w:ascii="Arial" w:hAnsi="Arial"/>
        <w:b/>
        <w:sz w:val="48"/>
      </w:rPr>
      <w:t>E</w:t>
    </w:r>
    <w:r w:rsidR="00C27F57">
      <w:rPr>
        <w:rFonts w:ascii="Arial" w:hAnsi="Arial"/>
        <w:b/>
        <w:sz w:val="48"/>
      </w:rPr>
      <w:t>S</w:t>
    </w:r>
    <w:r>
      <w:tab/>
    </w:r>
    <w:r>
      <w:fldChar w:fldCharType="begin"/>
    </w:r>
    <w:r>
      <w:instrText xml:space="preserve"> PAGE  \* MERGEFORMAT </w:instrText>
    </w:r>
    <w:r>
      <w:fldChar w:fldCharType="separate"/>
    </w:r>
    <w:r w:rsidR="00554D84">
      <w:rPr>
        <w:noProof/>
      </w:rPr>
      <w:t>1</w:t>
    </w:r>
    <w:r>
      <w:fldChar w:fldCharType="end"/>
    </w:r>
    <w:r>
      <w:tab/>
    </w:r>
    <w:r>
      <w:tab/>
    </w:r>
    <w:r w:rsidR="00C27F57">
      <w:rPr>
        <w:rFonts w:ascii="Arial" w:hAnsi="Arial"/>
        <w:b/>
        <w:sz w:val="48"/>
      </w:rPr>
      <w:t>ES</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6809C" w14:textId="77777777" w:rsidR="00336657" w:rsidRDefault="00336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14291" w14:textId="77777777" w:rsidR="003246EA" w:rsidRDefault="003246EA" w:rsidP="0045525D">
      <w:pPr>
        <w:spacing w:before="0" w:after="0"/>
      </w:pPr>
      <w:r>
        <w:separator/>
      </w:r>
    </w:p>
  </w:footnote>
  <w:footnote w:type="continuationSeparator" w:id="0">
    <w:p w14:paraId="7EE36FD3" w14:textId="77777777" w:rsidR="003246EA" w:rsidRDefault="003246EA" w:rsidP="0045525D">
      <w:pPr>
        <w:spacing w:before="0" w:after="0"/>
      </w:pPr>
      <w:r>
        <w:continuationSeparator/>
      </w:r>
    </w:p>
  </w:footnote>
  <w:footnote w:type="continuationNotice" w:id="1">
    <w:p w14:paraId="72D821B0" w14:textId="77777777" w:rsidR="003246EA" w:rsidRDefault="003246EA">
      <w:pPr>
        <w:spacing w:before="0" w:after="0"/>
      </w:pPr>
    </w:p>
  </w:footnote>
  <w:footnote w:id="2">
    <w:p w14:paraId="3F75C315" w14:textId="00A666C0" w:rsidR="003F07FD" w:rsidRPr="008C228E" w:rsidRDefault="003F07FD" w:rsidP="00A026C9">
      <w:pPr>
        <w:pStyle w:val="FootnoteText"/>
        <w:ind w:left="0" w:firstLine="0"/>
        <w:jc w:val="left"/>
        <w:rPr>
          <w:lang w:val="en-US"/>
        </w:rPr>
      </w:pPr>
      <w:r>
        <w:rPr>
          <w:rStyle w:val="FootnoteReference"/>
        </w:rPr>
        <w:footnoteRef/>
      </w:r>
      <w:r>
        <w:t xml:space="preserve"> EN 16516: Productos de construcción: Evaluación de la emisión de sustancias peligrosas. </w:t>
      </w:r>
      <w:r w:rsidRPr="008C228E">
        <w:rPr>
          <w:lang w:val="en-US"/>
        </w:rPr>
        <w:t>Determinación de las emisiones al aire interior.</w:t>
      </w:r>
    </w:p>
  </w:footnote>
  <w:footnote w:id="3">
    <w:p w14:paraId="23C9D113" w14:textId="2D38DA05" w:rsidR="006556CE" w:rsidRPr="006556CE" w:rsidRDefault="006556CE" w:rsidP="006556CE">
      <w:pPr>
        <w:pStyle w:val="FootnoteText"/>
        <w:ind w:left="0" w:firstLine="0"/>
      </w:pPr>
      <w:r>
        <w:rPr>
          <w:rStyle w:val="FootnoteReference"/>
        </w:rPr>
        <w:footnoteRef/>
      </w:r>
      <w:r w:rsidRPr="008C228E">
        <w:rPr>
          <w:lang w:val="en-US"/>
        </w:rPr>
        <w:t xml:space="preserve"> ISO 12219-1: </w:t>
      </w:r>
      <w:r w:rsidRPr="008C228E">
        <w:rPr>
          <w:i/>
          <w:lang w:val="en-US"/>
        </w:rPr>
        <w:t>Interior air of road vehicles — Part 1:</w:t>
      </w:r>
      <w:r w:rsidRPr="008C228E">
        <w:rPr>
          <w:lang w:val="en-US"/>
        </w:rPr>
        <w:t xml:space="preserve"> </w:t>
      </w:r>
      <w:r w:rsidRPr="008C228E">
        <w:rPr>
          <w:i/>
          <w:lang w:val="en-US"/>
        </w:rPr>
        <w:t>Whole vehicle test chamber — Specification and method for the determination of volatile organic compounds in cabin interiors</w:t>
      </w:r>
      <w:r w:rsidRPr="008C228E">
        <w:rPr>
          <w:lang w:val="en-US"/>
        </w:rPr>
        <w:t xml:space="preserve"> ["Aire en interiores de los vehículos de carretera. </w:t>
      </w:r>
      <w:r>
        <w:t>Parte 1: cámara de ensayo para vehículo completo. Especificación y método para la determinación de los compuestos orgánicos volátiles en el interior de la cabina" (documento en inglés)].</w:t>
      </w:r>
    </w:p>
  </w:footnote>
  <w:footnote w:id="4">
    <w:p w14:paraId="10669495" w14:textId="031BB902" w:rsidR="00DF5093" w:rsidRPr="00DF5093" w:rsidRDefault="00DF5093" w:rsidP="00DF5093">
      <w:pPr>
        <w:pStyle w:val="FootnoteText"/>
        <w:ind w:left="0" w:firstLine="0"/>
      </w:pPr>
      <w:r>
        <w:rPr>
          <w:rStyle w:val="FootnoteReference"/>
        </w:rPr>
        <w:footnoteRef/>
      </w:r>
      <w:r w:rsidRPr="008C228E">
        <w:rPr>
          <w:lang w:val="en-US"/>
        </w:rPr>
        <w:t xml:space="preserve"> ISO 12219-10: </w:t>
      </w:r>
      <w:r w:rsidRPr="008C228E">
        <w:rPr>
          <w:i/>
          <w:lang w:val="en-US"/>
        </w:rPr>
        <w:t>Interior air of road vehicles — Part 10:</w:t>
      </w:r>
      <w:r w:rsidRPr="008C228E">
        <w:rPr>
          <w:lang w:val="en-US"/>
        </w:rPr>
        <w:t xml:space="preserve"> </w:t>
      </w:r>
      <w:r w:rsidRPr="008C228E">
        <w:rPr>
          <w:i/>
          <w:lang w:val="en-US"/>
        </w:rPr>
        <w:t>Whole vehicle test chamber — Specification and methods for the determination of volatile organic compounds in cabin interiors — Trucks and buses</w:t>
      </w:r>
      <w:r w:rsidRPr="008C228E">
        <w:rPr>
          <w:lang w:val="en-US"/>
        </w:rPr>
        <w:t xml:space="preserve"> ["Aire en interiores de los vehículos de carretera. </w:t>
      </w:r>
      <w:r>
        <w:t>Parte 10: cámara de ensayo para vehículo completo. Especificación y métodos para la determinación de los compuestos orgánicos volátiles en el interior de la cabina. Camiones y autobuses" (documento en inglés)].».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8BC53" w14:textId="77777777" w:rsidR="00554D84" w:rsidRDefault="00554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6D226" w14:textId="77777777" w:rsidR="00554D84" w:rsidRDefault="00554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CF44E" w14:textId="77777777" w:rsidR="00554D84" w:rsidRDefault="00554D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49F0F" w14:textId="77777777" w:rsidR="00336657" w:rsidRDefault="003366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BD8A3" w14:textId="77777777" w:rsidR="008F2ED4" w:rsidRPr="008F2ED4" w:rsidRDefault="008F2ED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24CBA" w14:textId="77777777" w:rsidR="00336657" w:rsidRDefault="003366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D4782"/>
    <w:multiLevelType w:val="hybridMultilevel"/>
    <w:tmpl w:val="E1948584"/>
    <w:lvl w:ilvl="0" w:tplc="704EE20A">
      <w:start w:val="1"/>
      <w:numFmt w:val="lowerLetter"/>
      <w:lvlText w:val="(%1)"/>
      <w:lvlJc w:val="left"/>
      <w:pPr>
        <w:ind w:left="144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BCF4454"/>
    <w:multiLevelType w:val="hybridMultilevel"/>
    <w:tmpl w:val="DEE8F88E"/>
    <w:lvl w:ilvl="0" w:tplc="B2FC01BE">
      <w:start w:val="1"/>
      <w:numFmt w:val="lowerLetter"/>
      <w:lvlText w:val="%1."/>
      <w:lvlJc w:val="left"/>
      <w:pPr>
        <w:ind w:left="1440" w:hanging="360"/>
      </w:pPr>
      <w:rPr>
        <w:rFonts w:hint="default"/>
      </w:rPr>
    </w:lvl>
    <w:lvl w:ilvl="1" w:tplc="080C0019">
      <w:start w:val="1"/>
      <w:numFmt w:val="lowerLetter"/>
      <w:lvlText w:val="%2."/>
      <w:lvlJc w:val="left"/>
      <w:pPr>
        <w:ind w:left="1440" w:hanging="360"/>
      </w:pPr>
    </w:lvl>
    <w:lvl w:ilvl="2" w:tplc="2A9AC2B2">
      <w:start w:val="1"/>
      <w:numFmt w:val="lowerRoman"/>
      <w:lvlText w:val="(%3)"/>
      <w:lvlJc w:val="left"/>
      <w:pPr>
        <w:ind w:left="2160" w:hanging="180"/>
      </w:pPr>
      <w:rPr>
        <w:rFonts w:hint="default"/>
      </w:rPr>
    </w:lvl>
    <w:lvl w:ilvl="3" w:tplc="14DA3B42">
      <w:start w:val="1"/>
      <w:numFmt w:val="lowerLetter"/>
      <w:lvlText w:val="(%4)"/>
      <w:lvlJc w:val="left"/>
      <w:pPr>
        <w:ind w:left="2880" w:hanging="360"/>
      </w:pPr>
      <w:rPr>
        <w:rFonts w:hint="default"/>
      </w:r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18B436F"/>
    <w:multiLevelType w:val="hybridMultilevel"/>
    <w:tmpl w:val="B5B6B930"/>
    <w:lvl w:ilvl="0" w:tplc="0409000F">
      <w:start w:val="1"/>
      <w:numFmt w:val="decimal"/>
      <w:lvlText w:val="%1."/>
      <w:lvlJc w:val="left"/>
      <w:pPr>
        <w:ind w:left="720" w:hanging="360"/>
      </w:pPr>
    </w:lvl>
    <w:lvl w:ilvl="1" w:tplc="14DA3B4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B5569"/>
    <w:multiLevelType w:val="hybridMultilevel"/>
    <w:tmpl w:val="E92AA390"/>
    <w:lvl w:ilvl="0" w:tplc="6FEC209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61B2576"/>
    <w:multiLevelType w:val="hybridMultilevel"/>
    <w:tmpl w:val="02245DBC"/>
    <w:lvl w:ilvl="0" w:tplc="7F84916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475590"/>
    <w:multiLevelType w:val="multilevel"/>
    <w:tmpl w:val="8948FA96"/>
    <w:lvl w:ilvl="0">
      <w:start w:val="1"/>
      <w:numFmt w:val="decimal"/>
      <w:lvlText w:val="%1."/>
      <w:lvlJc w:val="left"/>
      <w:pPr>
        <w:ind w:left="357" w:firstLine="0"/>
      </w:pPr>
      <w:rPr>
        <w:rFonts w:hint="default"/>
      </w:rPr>
    </w:lvl>
    <w:lvl w:ilvl="1">
      <w:start w:val="1"/>
      <w:numFmt w:val="lowerLetter"/>
      <w:lvlText w:val="%2)"/>
      <w:lvlJc w:val="left"/>
      <w:pPr>
        <w:ind w:left="1352"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F015C2E"/>
    <w:multiLevelType w:val="hybridMultilevel"/>
    <w:tmpl w:val="0B062E56"/>
    <w:lvl w:ilvl="0" w:tplc="8F260C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9730EB"/>
    <w:multiLevelType w:val="hybridMultilevel"/>
    <w:tmpl w:val="DC9A85FA"/>
    <w:lvl w:ilvl="0" w:tplc="2A9AC2B2">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75BF6195"/>
    <w:multiLevelType w:val="multilevel"/>
    <w:tmpl w:val="C7D0F0B4"/>
    <w:lvl w:ilvl="0">
      <w:start w:val="1"/>
      <w:numFmt w:val="decimal"/>
      <w:lvlText w:val="%1."/>
      <w:lvlJc w:val="left"/>
      <w:pPr>
        <w:ind w:left="357" w:firstLine="0"/>
      </w:pPr>
      <w:rPr>
        <w:rFonts w:hint="default"/>
      </w:rPr>
    </w:lvl>
    <w:lvl w:ilvl="1">
      <w:start w:val="1"/>
      <w:numFmt w:val="lowerLetter"/>
      <w:lvlText w:val="%2)"/>
      <w:lvlJc w:val="left"/>
      <w:pPr>
        <w:ind w:left="1352"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AF135ED"/>
    <w:multiLevelType w:val="multilevel"/>
    <w:tmpl w:val="B688339C"/>
    <w:lvl w:ilvl="0">
      <w:start w:val="1"/>
      <w:numFmt w:val="decimal"/>
      <w:lvlText w:val="%1."/>
      <w:lvlJc w:val="left"/>
      <w:pPr>
        <w:ind w:left="357" w:firstLine="0"/>
      </w:pPr>
      <w:rPr>
        <w:rFonts w:hint="default"/>
      </w:rPr>
    </w:lvl>
    <w:lvl w:ilvl="1">
      <w:start w:val="1"/>
      <w:numFmt w:val="lowerLetter"/>
      <w:lvlText w:val="(%2)"/>
      <w:lvlJc w:val="left"/>
      <w:pPr>
        <w:ind w:left="1352"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0"/>
  </w:num>
  <w:num w:numId="2">
    <w:abstractNumId w:val="1"/>
  </w:num>
  <w:num w:numId="3">
    <w:abstractNumId w:val="2"/>
  </w:num>
  <w:num w:numId="4">
    <w:abstractNumId w:val="3"/>
  </w:num>
  <w:num w:numId="5">
    <w:abstractNumId w:val="0"/>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0" w:firstLine="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abstractNumId w:val="10"/>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720" w:hanging="363"/>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1">
    <w:abstractNumId w:val="10"/>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357" w:firstLine="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
    <w:abstractNumId w:val="10"/>
    <w:lvlOverride w:ilvl="0">
      <w:lvl w:ilvl="0">
        <w:start w:val="1"/>
        <w:numFmt w:val="decimal"/>
        <w:lvlText w:val="%1."/>
        <w:lvlJc w:val="left"/>
        <w:pPr>
          <w:ind w:left="357" w:firstLine="0"/>
        </w:pPr>
        <w:rPr>
          <w:rFonts w:hint="default"/>
        </w:rPr>
      </w:lvl>
    </w:lvlOverride>
    <w:lvlOverride w:ilvl="1">
      <w:lvl w:ilvl="1">
        <w:start w:val="1"/>
        <w:numFmt w:val="lowerLetter"/>
        <w:lvlText w:val="(%2)"/>
        <w:lvlJc w:val="left"/>
        <w:pPr>
          <w:ind w:left="425" w:firstLine="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abstractNumId w:val="7"/>
  </w:num>
  <w:num w:numId="14">
    <w:abstractNumId w:val="5"/>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de-AT"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CU" w:vendorID="64" w:dllVersion="0" w:nlCheck="1" w:checkStyle="0"/>
  <w:activeWritingStyle w:appName="MSWord" w:lang="en-GB" w:vendorID="64" w:dllVersion="131078" w:nlCheck="1" w:checkStyle="1"/>
  <w:activeWritingStyle w:appName="MSWord" w:lang="es-ES" w:vendorID="64" w:dllVersion="131078" w:nlCheck="1" w:checkStyle="0"/>
  <w:activeWritingStyle w:appName="MSWord" w:lang="fr-BE"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del"/>
    <w:docVar w:name="LW_ANNEX_NBR_FIRST" w:val="1"/>
    <w:docVar w:name="LW_ANNEX_NBR_LAST" w:val="1"/>
    <w:docVar w:name="LW_ANNEX_UNIQUE" w:val="1"/>
    <w:docVar w:name="LW_CORRIGENDUM" w:val="&lt;UNUSED&gt;"/>
    <w:docVar w:name="LW_COVERPAGE_EXISTS" w:val="True"/>
    <w:docVar w:name="LW_COVERPAGE_GUID" w:val="BD323678-E2AF-409E-AF29-EEC13D01BC97"/>
    <w:docVar w:name="LW_COVERPAGE_TYPE" w:val="1"/>
    <w:docVar w:name="LW_CROSSREFERENCE" w:val="&lt;UNUSED&gt;"/>
    <w:docVar w:name="LW_DocType" w:val="NORMAL"/>
    <w:docVar w:name="LW_EMISSION" w:val="&lt;EMPTY&gt;"/>
    <w:docVar w:name="LW_EMISSION_ISODATE" w:val="&lt;EMPTY&gt;"/>
    <w:docVar w:name="LW_EMISSION_LOCATION" w:val="BRX"/>
    <w:docVar w:name="LW_EMISSION_PREFIX" w:val="Bruselas, "/>
    <w:docVar w:name="LW_EMISSION_SUFFIX" w:val=" "/>
    <w:docVar w:name="LW_ID_DOCTYPE_NONLW" w:val="CP-038"/>
    <w:docVar w:name="LW_LANGUE" w:val="ES"/>
    <w:docVar w:name="LW_LEVEL_OF_SENSITIVITY" w:val="Standard treatment"/>
    <w:docVar w:name="LW_NOM.INST" w:val="COMISIÓN EUROPEA"/>
    <w:docVar w:name="LW_NOM.INST_JOINTDOC" w:val="&lt;EMPTY&gt;"/>
    <w:docVar w:name="LW_OBJETACTEPRINCIPAL.CP" w:val="&lt;FMT:Bold&gt;por el que se modifica el anexo XVII del Reglamento (CE) n.º 1907/2006 del Parlamento Europeo y del Consejo en lo que respecta al formaldehído y a los liberadores de formaldehído&lt;/FMT&gt;"/>
    <w:docVar w:name="LW_PART_NBR" w:val="1"/>
    <w:docVar w:name="LW_PART_NBR_TOTAL" w:val="1"/>
    <w:docVar w:name="LW_REF.INST.NEW" w:val="&lt;EMPTY&gt;"/>
    <w:docVar w:name="LW_REF.INST.NEW_ADOPTED" w:val="draft"/>
    <w:docVar w:name="LW_REF.INST.NEW_TEXT" w:val="(2022) XXX"/>
    <w:docVar w:name="LW_REF.INTERNE" w:val="D084710/03"/>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EXO_x000b_"/>
    <w:docVar w:name="LW_TYPEACTEPRINCIPAL.CP" w:val="REGLAMENTO (UE) .../... DE LA COMISIÓN de XXX"/>
  </w:docVars>
  <w:rsids>
    <w:rsidRoot w:val="0045525D"/>
    <w:rsid w:val="0000266E"/>
    <w:rsid w:val="00005C3B"/>
    <w:rsid w:val="00006204"/>
    <w:rsid w:val="00027574"/>
    <w:rsid w:val="000375F5"/>
    <w:rsid w:val="00040DD8"/>
    <w:rsid w:val="00041849"/>
    <w:rsid w:val="00044F86"/>
    <w:rsid w:val="00045805"/>
    <w:rsid w:val="00047608"/>
    <w:rsid w:val="00051C09"/>
    <w:rsid w:val="00051ED4"/>
    <w:rsid w:val="00064105"/>
    <w:rsid w:val="00065182"/>
    <w:rsid w:val="00065C69"/>
    <w:rsid w:val="00067E94"/>
    <w:rsid w:val="00067F76"/>
    <w:rsid w:val="00070757"/>
    <w:rsid w:val="000740E8"/>
    <w:rsid w:val="00082650"/>
    <w:rsid w:val="00083F6B"/>
    <w:rsid w:val="00083F8F"/>
    <w:rsid w:val="000926BE"/>
    <w:rsid w:val="00092BDC"/>
    <w:rsid w:val="000950B3"/>
    <w:rsid w:val="000960EF"/>
    <w:rsid w:val="000A2B36"/>
    <w:rsid w:val="000A2EC7"/>
    <w:rsid w:val="000A6821"/>
    <w:rsid w:val="000A6F88"/>
    <w:rsid w:val="000B0778"/>
    <w:rsid w:val="000B16A3"/>
    <w:rsid w:val="000B591F"/>
    <w:rsid w:val="000D4F4E"/>
    <w:rsid w:val="000D5027"/>
    <w:rsid w:val="000E0BFA"/>
    <w:rsid w:val="000E1654"/>
    <w:rsid w:val="000E1904"/>
    <w:rsid w:val="000E6080"/>
    <w:rsid w:val="000E6950"/>
    <w:rsid w:val="000E75E1"/>
    <w:rsid w:val="000F2082"/>
    <w:rsid w:val="000F4BB8"/>
    <w:rsid w:val="00105E9A"/>
    <w:rsid w:val="001069AC"/>
    <w:rsid w:val="0011183A"/>
    <w:rsid w:val="00111ECD"/>
    <w:rsid w:val="00113CFD"/>
    <w:rsid w:val="001149A7"/>
    <w:rsid w:val="0012129F"/>
    <w:rsid w:val="001215C6"/>
    <w:rsid w:val="001275B8"/>
    <w:rsid w:val="001378A3"/>
    <w:rsid w:val="00137EF9"/>
    <w:rsid w:val="001445F2"/>
    <w:rsid w:val="001634C2"/>
    <w:rsid w:val="00173B96"/>
    <w:rsid w:val="00187614"/>
    <w:rsid w:val="00190E93"/>
    <w:rsid w:val="00195A98"/>
    <w:rsid w:val="001973C6"/>
    <w:rsid w:val="001A0A2E"/>
    <w:rsid w:val="001A303F"/>
    <w:rsid w:val="001B0979"/>
    <w:rsid w:val="001B3623"/>
    <w:rsid w:val="001C1ED6"/>
    <w:rsid w:val="001C3288"/>
    <w:rsid w:val="001D53FD"/>
    <w:rsid w:val="001D6002"/>
    <w:rsid w:val="001D6E1C"/>
    <w:rsid w:val="001E5F75"/>
    <w:rsid w:val="001E7B38"/>
    <w:rsid w:val="001F2B33"/>
    <w:rsid w:val="001F49E2"/>
    <w:rsid w:val="001F5290"/>
    <w:rsid w:val="001F6687"/>
    <w:rsid w:val="0020078E"/>
    <w:rsid w:val="00210AF3"/>
    <w:rsid w:val="00213960"/>
    <w:rsid w:val="00214865"/>
    <w:rsid w:val="002154CF"/>
    <w:rsid w:val="0022385A"/>
    <w:rsid w:val="00231D73"/>
    <w:rsid w:val="00242EE2"/>
    <w:rsid w:val="002453A8"/>
    <w:rsid w:val="002470C7"/>
    <w:rsid w:val="00247343"/>
    <w:rsid w:val="0025123A"/>
    <w:rsid w:val="0025564E"/>
    <w:rsid w:val="002612C7"/>
    <w:rsid w:val="00264C77"/>
    <w:rsid w:val="00265249"/>
    <w:rsid w:val="002657BC"/>
    <w:rsid w:val="002828C6"/>
    <w:rsid w:val="00283E5D"/>
    <w:rsid w:val="00286694"/>
    <w:rsid w:val="00286811"/>
    <w:rsid w:val="00293304"/>
    <w:rsid w:val="002A1572"/>
    <w:rsid w:val="002A7DA4"/>
    <w:rsid w:val="002C28B5"/>
    <w:rsid w:val="002C64D3"/>
    <w:rsid w:val="002C7751"/>
    <w:rsid w:val="002D1E73"/>
    <w:rsid w:val="002D2A87"/>
    <w:rsid w:val="002D39FD"/>
    <w:rsid w:val="002E38DA"/>
    <w:rsid w:val="002E6E7C"/>
    <w:rsid w:val="002F1600"/>
    <w:rsid w:val="002F4380"/>
    <w:rsid w:val="00303461"/>
    <w:rsid w:val="003048C5"/>
    <w:rsid w:val="00305F16"/>
    <w:rsid w:val="00306D1F"/>
    <w:rsid w:val="003103A8"/>
    <w:rsid w:val="003209A1"/>
    <w:rsid w:val="00321F27"/>
    <w:rsid w:val="00322EE7"/>
    <w:rsid w:val="00323AFB"/>
    <w:rsid w:val="00324279"/>
    <w:rsid w:val="003246EA"/>
    <w:rsid w:val="00325BCF"/>
    <w:rsid w:val="00336657"/>
    <w:rsid w:val="00341571"/>
    <w:rsid w:val="00341DE9"/>
    <w:rsid w:val="00342C98"/>
    <w:rsid w:val="00344019"/>
    <w:rsid w:val="003572BF"/>
    <w:rsid w:val="003601D2"/>
    <w:rsid w:val="003632F5"/>
    <w:rsid w:val="00364354"/>
    <w:rsid w:val="00364C73"/>
    <w:rsid w:val="00374E5B"/>
    <w:rsid w:val="00382BB4"/>
    <w:rsid w:val="003845DB"/>
    <w:rsid w:val="00386DD3"/>
    <w:rsid w:val="00387778"/>
    <w:rsid w:val="003905B8"/>
    <w:rsid w:val="0039275B"/>
    <w:rsid w:val="0039383A"/>
    <w:rsid w:val="003B09D5"/>
    <w:rsid w:val="003B611D"/>
    <w:rsid w:val="003B6F52"/>
    <w:rsid w:val="003C6B31"/>
    <w:rsid w:val="003D1C1D"/>
    <w:rsid w:val="003D2C03"/>
    <w:rsid w:val="003F07FD"/>
    <w:rsid w:val="003F1979"/>
    <w:rsid w:val="00400EAA"/>
    <w:rsid w:val="00410EC3"/>
    <w:rsid w:val="00413C7B"/>
    <w:rsid w:val="00414E4B"/>
    <w:rsid w:val="00415232"/>
    <w:rsid w:val="004174D4"/>
    <w:rsid w:val="0043664F"/>
    <w:rsid w:val="0044475B"/>
    <w:rsid w:val="004464F0"/>
    <w:rsid w:val="00451D17"/>
    <w:rsid w:val="0045525D"/>
    <w:rsid w:val="0046525B"/>
    <w:rsid w:val="0046751A"/>
    <w:rsid w:val="00475C7D"/>
    <w:rsid w:val="00486A32"/>
    <w:rsid w:val="00495865"/>
    <w:rsid w:val="004A256F"/>
    <w:rsid w:val="004B1DFB"/>
    <w:rsid w:val="004B50E5"/>
    <w:rsid w:val="004D2363"/>
    <w:rsid w:val="004D50EC"/>
    <w:rsid w:val="004D6AC3"/>
    <w:rsid w:val="004E366B"/>
    <w:rsid w:val="004E6DA7"/>
    <w:rsid w:val="004F2810"/>
    <w:rsid w:val="004F4FD6"/>
    <w:rsid w:val="004F5850"/>
    <w:rsid w:val="004F58DC"/>
    <w:rsid w:val="004F710E"/>
    <w:rsid w:val="0050249F"/>
    <w:rsid w:val="00502825"/>
    <w:rsid w:val="0050783E"/>
    <w:rsid w:val="00510257"/>
    <w:rsid w:val="00515330"/>
    <w:rsid w:val="00520198"/>
    <w:rsid w:val="00523C6E"/>
    <w:rsid w:val="00525AF8"/>
    <w:rsid w:val="0053271E"/>
    <w:rsid w:val="00532A2E"/>
    <w:rsid w:val="00533D31"/>
    <w:rsid w:val="00535A39"/>
    <w:rsid w:val="00536947"/>
    <w:rsid w:val="00540BA3"/>
    <w:rsid w:val="005450A1"/>
    <w:rsid w:val="00547A72"/>
    <w:rsid w:val="0055214D"/>
    <w:rsid w:val="0055300E"/>
    <w:rsid w:val="0055318D"/>
    <w:rsid w:val="00554D84"/>
    <w:rsid w:val="00567D02"/>
    <w:rsid w:val="00572783"/>
    <w:rsid w:val="005852D4"/>
    <w:rsid w:val="00585FE6"/>
    <w:rsid w:val="005869AA"/>
    <w:rsid w:val="005914CA"/>
    <w:rsid w:val="00597EFD"/>
    <w:rsid w:val="005A00B2"/>
    <w:rsid w:val="005A242B"/>
    <w:rsid w:val="005A329F"/>
    <w:rsid w:val="005B372C"/>
    <w:rsid w:val="005D0CEC"/>
    <w:rsid w:val="005D13AF"/>
    <w:rsid w:val="005D162E"/>
    <w:rsid w:val="005D26BF"/>
    <w:rsid w:val="005D395B"/>
    <w:rsid w:val="005D638D"/>
    <w:rsid w:val="005D73E8"/>
    <w:rsid w:val="005D7AE1"/>
    <w:rsid w:val="005E7C74"/>
    <w:rsid w:val="005F089F"/>
    <w:rsid w:val="005F2DAF"/>
    <w:rsid w:val="005F7D3E"/>
    <w:rsid w:val="00601519"/>
    <w:rsid w:val="006124BD"/>
    <w:rsid w:val="0063515C"/>
    <w:rsid w:val="00640430"/>
    <w:rsid w:val="00640ED7"/>
    <w:rsid w:val="00643498"/>
    <w:rsid w:val="0064698A"/>
    <w:rsid w:val="006556CE"/>
    <w:rsid w:val="00655B0E"/>
    <w:rsid w:val="00655DA8"/>
    <w:rsid w:val="00655F2A"/>
    <w:rsid w:val="00663D5B"/>
    <w:rsid w:val="00665F45"/>
    <w:rsid w:val="00672648"/>
    <w:rsid w:val="00683D77"/>
    <w:rsid w:val="00684CC2"/>
    <w:rsid w:val="006963F0"/>
    <w:rsid w:val="00696963"/>
    <w:rsid w:val="00697E48"/>
    <w:rsid w:val="006A1902"/>
    <w:rsid w:val="006A53F5"/>
    <w:rsid w:val="006B2040"/>
    <w:rsid w:val="006B2BF7"/>
    <w:rsid w:val="006B2FC0"/>
    <w:rsid w:val="006B335B"/>
    <w:rsid w:val="006B3684"/>
    <w:rsid w:val="006C1325"/>
    <w:rsid w:val="006C13D3"/>
    <w:rsid w:val="006D1644"/>
    <w:rsid w:val="006E1525"/>
    <w:rsid w:val="006E2052"/>
    <w:rsid w:val="006E321A"/>
    <w:rsid w:val="006F3954"/>
    <w:rsid w:val="006F6144"/>
    <w:rsid w:val="006F71D1"/>
    <w:rsid w:val="00703F00"/>
    <w:rsid w:val="00713E46"/>
    <w:rsid w:val="00716579"/>
    <w:rsid w:val="007203DB"/>
    <w:rsid w:val="00722B8C"/>
    <w:rsid w:val="0072380A"/>
    <w:rsid w:val="007238DF"/>
    <w:rsid w:val="00730EA6"/>
    <w:rsid w:val="007368BC"/>
    <w:rsid w:val="00743465"/>
    <w:rsid w:val="00753750"/>
    <w:rsid w:val="00756845"/>
    <w:rsid w:val="007574C9"/>
    <w:rsid w:val="0076463F"/>
    <w:rsid w:val="0076595D"/>
    <w:rsid w:val="00772A9D"/>
    <w:rsid w:val="00774A03"/>
    <w:rsid w:val="00777679"/>
    <w:rsid w:val="007854BE"/>
    <w:rsid w:val="00790A3D"/>
    <w:rsid w:val="00791AFB"/>
    <w:rsid w:val="007940F2"/>
    <w:rsid w:val="007947D9"/>
    <w:rsid w:val="007A30EC"/>
    <w:rsid w:val="007A7843"/>
    <w:rsid w:val="007B0CFF"/>
    <w:rsid w:val="007B30BE"/>
    <w:rsid w:val="007B7229"/>
    <w:rsid w:val="007B73B6"/>
    <w:rsid w:val="007C3BA6"/>
    <w:rsid w:val="007C556D"/>
    <w:rsid w:val="007D360C"/>
    <w:rsid w:val="007F0E23"/>
    <w:rsid w:val="007F1FBB"/>
    <w:rsid w:val="007F26DA"/>
    <w:rsid w:val="007F5FD3"/>
    <w:rsid w:val="007F6DB6"/>
    <w:rsid w:val="00801C96"/>
    <w:rsid w:val="008061AB"/>
    <w:rsid w:val="00810E1B"/>
    <w:rsid w:val="0081574E"/>
    <w:rsid w:val="00821B9A"/>
    <w:rsid w:val="00822EFD"/>
    <w:rsid w:val="008243F5"/>
    <w:rsid w:val="00826258"/>
    <w:rsid w:val="008337FB"/>
    <w:rsid w:val="008420CE"/>
    <w:rsid w:val="0085679C"/>
    <w:rsid w:val="0086066F"/>
    <w:rsid w:val="00861E87"/>
    <w:rsid w:val="00870332"/>
    <w:rsid w:val="008802C4"/>
    <w:rsid w:val="00880C8B"/>
    <w:rsid w:val="008926E9"/>
    <w:rsid w:val="0089540A"/>
    <w:rsid w:val="008965D8"/>
    <w:rsid w:val="008A1227"/>
    <w:rsid w:val="008A2172"/>
    <w:rsid w:val="008B58DD"/>
    <w:rsid w:val="008C228E"/>
    <w:rsid w:val="008C38ED"/>
    <w:rsid w:val="008C6D6F"/>
    <w:rsid w:val="008E57F5"/>
    <w:rsid w:val="008F2ED4"/>
    <w:rsid w:val="008F5A95"/>
    <w:rsid w:val="0090045F"/>
    <w:rsid w:val="00901A01"/>
    <w:rsid w:val="00905558"/>
    <w:rsid w:val="00907E5B"/>
    <w:rsid w:val="00911C7F"/>
    <w:rsid w:val="00913BFD"/>
    <w:rsid w:val="009159C3"/>
    <w:rsid w:val="009166BD"/>
    <w:rsid w:val="00927ED5"/>
    <w:rsid w:val="0093506B"/>
    <w:rsid w:val="00942B42"/>
    <w:rsid w:val="00947F48"/>
    <w:rsid w:val="00953E76"/>
    <w:rsid w:val="00961AF7"/>
    <w:rsid w:val="009736E9"/>
    <w:rsid w:val="009749F2"/>
    <w:rsid w:val="0098010F"/>
    <w:rsid w:val="0098235C"/>
    <w:rsid w:val="00984417"/>
    <w:rsid w:val="00991339"/>
    <w:rsid w:val="00992FF0"/>
    <w:rsid w:val="00993653"/>
    <w:rsid w:val="0099397C"/>
    <w:rsid w:val="009A152E"/>
    <w:rsid w:val="009A7073"/>
    <w:rsid w:val="009B0EB8"/>
    <w:rsid w:val="009B17D3"/>
    <w:rsid w:val="009B1B42"/>
    <w:rsid w:val="009B1E2C"/>
    <w:rsid w:val="009B7AE5"/>
    <w:rsid w:val="009C5103"/>
    <w:rsid w:val="009D2704"/>
    <w:rsid w:val="009D4BE1"/>
    <w:rsid w:val="009E544F"/>
    <w:rsid w:val="009F12A3"/>
    <w:rsid w:val="009F1655"/>
    <w:rsid w:val="009F3C9E"/>
    <w:rsid w:val="009F7A90"/>
    <w:rsid w:val="00A01054"/>
    <w:rsid w:val="00A026C9"/>
    <w:rsid w:val="00A037A6"/>
    <w:rsid w:val="00A047C0"/>
    <w:rsid w:val="00A05887"/>
    <w:rsid w:val="00A10A7F"/>
    <w:rsid w:val="00A175EE"/>
    <w:rsid w:val="00A2327B"/>
    <w:rsid w:val="00A242C9"/>
    <w:rsid w:val="00A36542"/>
    <w:rsid w:val="00A3743F"/>
    <w:rsid w:val="00A55DD8"/>
    <w:rsid w:val="00A56B4F"/>
    <w:rsid w:val="00A70A4F"/>
    <w:rsid w:val="00A71FC5"/>
    <w:rsid w:val="00A74522"/>
    <w:rsid w:val="00A81911"/>
    <w:rsid w:val="00A845DF"/>
    <w:rsid w:val="00A846B2"/>
    <w:rsid w:val="00A85881"/>
    <w:rsid w:val="00A87C82"/>
    <w:rsid w:val="00AA3BAC"/>
    <w:rsid w:val="00AA4A79"/>
    <w:rsid w:val="00AA4CF5"/>
    <w:rsid w:val="00AA6694"/>
    <w:rsid w:val="00AB32B5"/>
    <w:rsid w:val="00AB4B19"/>
    <w:rsid w:val="00AC2593"/>
    <w:rsid w:val="00AC41FE"/>
    <w:rsid w:val="00AD0F99"/>
    <w:rsid w:val="00AD4E55"/>
    <w:rsid w:val="00AE1C43"/>
    <w:rsid w:val="00AE46AB"/>
    <w:rsid w:val="00B01EE8"/>
    <w:rsid w:val="00B04376"/>
    <w:rsid w:val="00B062D8"/>
    <w:rsid w:val="00B06992"/>
    <w:rsid w:val="00B07510"/>
    <w:rsid w:val="00B21E8D"/>
    <w:rsid w:val="00B22CDD"/>
    <w:rsid w:val="00B44329"/>
    <w:rsid w:val="00B520EC"/>
    <w:rsid w:val="00B66245"/>
    <w:rsid w:val="00B708E6"/>
    <w:rsid w:val="00B715DF"/>
    <w:rsid w:val="00B71774"/>
    <w:rsid w:val="00B74CC3"/>
    <w:rsid w:val="00B817C2"/>
    <w:rsid w:val="00B82202"/>
    <w:rsid w:val="00B84C2B"/>
    <w:rsid w:val="00B90B42"/>
    <w:rsid w:val="00B91CBA"/>
    <w:rsid w:val="00B93567"/>
    <w:rsid w:val="00B93E3D"/>
    <w:rsid w:val="00B95635"/>
    <w:rsid w:val="00B95D60"/>
    <w:rsid w:val="00BA2B18"/>
    <w:rsid w:val="00BA4A9F"/>
    <w:rsid w:val="00BB1E89"/>
    <w:rsid w:val="00BB5169"/>
    <w:rsid w:val="00BB78F3"/>
    <w:rsid w:val="00BC2A4D"/>
    <w:rsid w:val="00BE1608"/>
    <w:rsid w:val="00BF1C62"/>
    <w:rsid w:val="00C03AD0"/>
    <w:rsid w:val="00C04AC9"/>
    <w:rsid w:val="00C067BF"/>
    <w:rsid w:val="00C07F94"/>
    <w:rsid w:val="00C114CF"/>
    <w:rsid w:val="00C13433"/>
    <w:rsid w:val="00C25CE2"/>
    <w:rsid w:val="00C25E26"/>
    <w:rsid w:val="00C27F57"/>
    <w:rsid w:val="00C31199"/>
    <w:rsid w:val="00C34E4B"/>
    <w:rsid w:val="00C415FB"/>
    <w:rsid w:val="00C43723"/>
    <w:rsid w:val="00C51DA9"/>
    <w:rsid w:val="00C52B17"/>
    <w:rsid w:val="00C53A2E"/>
    <w:rsid w:val="00C55960"/>
    <w:rsid w:val="00C65F41"/>
    <w:rsid w:val="00C66B64"/>
    <w:rsid w:val="00C67EE1"/>
    <w:rsid w:val="00C71B97"/>
    <w:rsid w:val="00C75158"/>
    <w:rsid w:val="00C804BE"/>
    <w:rsid w:val="00C813A9"/>
    <w:rsid w:val="00C826D6"/>
    <w:rsid w:val="00C85110"/>
    <w:rsid w:val="00C91EF4"/>
    <w:rsid w:val="00CA23DC"/>
    <w:rsid w:val="00CA7AAC"/>
    <w:rsid w:val="00CB6812"/>
    <w:rsid w:val="00CC4BBF"/>
    <w:rsid w:val="00CF13DC"/>
    <w:rsid w:val="00CF5CB1"/>
    <w:rsid w:val="00D06721"/>
    <w:rsid w:val="00D108C6"/>
    <w:rsid w:val="00D20A8E"/>
    <w:rsid w:val="00D2183E"/>
    <w:rsid w:val="00D25BF6"/>
    <w:rsid w:val="00D27FCB"/>
    <w:rsid w:val="00D33990"/>
    <w:rsid w:val="00D42017"/>
    <w:rsid w:val="00D50332"/>
    <w:rsid w:val="00D51349"/>
    <w:rsid w:val="00D53AF4"/>
    <w:rsid w:val="00D61829"/>
    <w:rsid w:val="00D671F7"/>
    <w:rsid w:val="00D71206"/>
    <w:rsid w:val="00D719C3"/>
    <w:rsid w:val="00D803F5"/>
    <w:rsid w:val="00D85DA5"/>
    <w:rsid w:val="00D93DE4"/>
    <w:rsid w:val="00D97DFA"/>
    <w:rsid w:val="00DB7BCE"/>
    <w:rsid w:val="00DC272B"/>
    <w:rsid w:val="00DC39CA"/>
    <w:rsid w:val="00DC3E97"/>
    <w:rsid w:val="00DD107C"/>
    <w:rsid w:val="00DD2FEA"/>
    <w:rsid w:val="00DD3914"/>
    <w:rsid w:val="00DD412E"/>
    <w:rsid w:val="00DE30C0"/>
    <w:rsid w:val="00DF40B5"/>
    <w:rsid w:val="00DF5093"/>
    <w:rsid w:val="00E0130C"/>
    <w:rsid w:val="00E0342F"/>
    <w:rsid w:val="00E071F4"/>
    <w:rsid w:val="00E07651"/>
    <w:rsid w:val="00E1146C"/>
    <w:rsid w:val="00E24922"/>
    <w:rsid w:val="00E365A2"/>
    <w:rsid w:val="00E502F3"/>
    <w:rsid w:val="00E61A9E"/>
    <w:rsid w:val="00E6296B"/>
    <w:rsid w:val="00E64F69"/>
    <w:rsid w:val="00E718FA"/>
    <w:rsid w:val="00E76AE0"/>
    <w:rsid w:val="00E80395"/>
    <w:rsid w:val="00E81449"/>
    <w:rsid w:val="00E84B96"/>
    <w:rsid w:val="00E872FA"/>
    <w:rsid w:val="00E8770C"/>
    <w:rsid w:val="00E929F0"/>
    <w:rsid w:val="00E93113"/>
    <w:rsid w:val="00EA77D4"/>
    <w:rsid w:val="00ED1E0D"/>
    <w:rsid w:val="00EE2B5D"/>
    <w:rsid w:val="00EE341E"/>
    <w:rsid w:val="00F023AC"/>
    <w:rsid w:val="00F06D4E"/>
    <w:rsid w:val="00F11C69"/>
    <w:rsid w:val="00F15518"/>
    <w:rsid w:val="00F155D9"/>
    <w:rsid w:val="00F17444"/>
    <w:rsid w:val="00F177D7"/>
    <w:rsid w:val="00F17F3F"/>
    <w:rsid w:val="00F20309"/>
    <w:rsid w:val="00F22876"/>
    <w:rsid w:val="00F23D3B"/>
    <w:rsid w:val="00F25442"/>
    <w:rsid w:val="00F32164"/>
    <w:rsid w:val="00F46636"/>
    <w:rsid w:val="00F57643"/>
    <w:rsid w:val="00F60833"/>
    <w:rsid w:val="00F61D91"/>
    <w:rsid w:val="00F62F22"/>
    <w:rsid w:val="00F63180"/>
    <w:rsid w:val="00F63C02"/>
    <w:rsid w:val="00F66FA8"/>
    <w:rsid w:val="00F7390A"/>
    <w:rsid w:val="00F751D8"/>
    <w:rsid w:val="00F76D30"/>
    <w:rsid w:val="00F827BC"/>
    <w:rsid w:val="00F8585E"/>
    <w:rsid w:val="00F919AD"/>
    <w:rsid w:val="00F97AA3"/>
    <w:rsid w:val="00FA4E85"/>
    <w:rsid w:val="00FA7CB4"/>
    <w:rsid w:val="00FD4365"/>
    <w:rsid w:val="00FD75C6"/>
    <w:rsid w:val="00FE3F3E"/>
    <w:rsid w:val="00FF18ED"/>
    <w:rsid w:val="00FF7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A1C18"/>
  <w15:chartTrackingRefBased/>
  <w15:docId w15:val="{219ACC8A-BF69-4F34-B928-473F9F59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25D"/>
    <w:pPr>
      <w:spacing w:before="120" w:after="120" w:line="240" w:lineRule="auto"/>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525D"/>
    <w:pPr>
      <w:spacing w:before="0" w:after="0"/>
      <w:jc w:val="left"/>
    </w:pPr>
    <w:rPr>
      <w:szCs w:val="24"/>
      <w:lang w:eastAsia="en-GB"/>
    </w:rPr>
  </w:style>
  <w:style w:type="paragraph" w:styleId="Footer">
    <w:name w:val="footer"/>
    <w:basedOn w:val="Normal"/>
    <w:link w:val="FooterChar"/>
    <w:uiPriority w:val="99"/>
    <w:unhideWhenUsed/>
    <w:rsid w:val="0045525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5525D"/>
    <w:rPr>
      <w:rFonts w:ascii="Times New Roman" w:hAnsi="Times New Roman" w:cs="Times New Roman"/>
      <w:sz w:val="24"/>
    </w:rPr>
  </w:style>
  <w:style w:type="paragraph" w:styleId="FootnoteText">
    <w:name w:val="footnote text"/>
    <w:basedOn w:val="Normal"/>
    <w:link w:val="FootnoteTextChar"/>
    <w:uiPriority w:val="99"/>
    <w:unhideWhenUsed/>
    <w:rsid w:val="0045525D"/>
    <w:pPr>
      <w:spacing w:before="0" w:after="0"/>
      <w:ind w:left="720" w:hanging="720"/>
    </w:pPr>
    <w:rPr>
      <w:sz w:val="20"/>
      <w:szCs w:val="20"/>
    </w:rPr>
  </w:style>
  <w:style w:type="character" w:customStyle="1" w:styleId="FootnoteTextChar">
    <w:name w:val="Footnote Text Char"/>
    <w:basedOn w:val="DefaultParagraphFont"/>
    <w:link w:val="FootnoteText"/>
    <w:uiPriority w:val="99"/>
    <w:rsid w:val="0045525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5525D"/>
    <w:rPr>
      <w:shd w:val="clear" w:color="auto" w:fill="auto"/>
      <w:vertAlign w:val="superscript"/>
    </w:rPr>
  </w:style>
  <w:style w:type="paragraph" w:customStyle="1" w:styleId="Point0number">
    <w:name w:val="Point 0 (number)"/>
    <w:basedOn w:val="Normal"/>
    <w:rsid w:val="0045525D"/>
    <w:pPr>
      <w:numPr>
        <w:numId w:val="7"/>
      </w:numPr>
    </w:pPr>
  </w:style>
  <w:style w:type="paragraph" w:customStyle="1" w:styleId="Point1number">
    <w:name w:val="Point 1 (number)"/>
    <w:basedOn w:val="Normal"/>
    <w:rsid w:val="0045525D"/>
    <w:pPr>
      <w:numPr>
        <w:ilvl w:val="2"/>
        <w:numId w:val="7"/>
      </w:numPr>
    </w:pPr>
  </w:style>
  <w:style w:type="paragraph" w:customStyle="1" w:styleId="Point2number">
    <w:name w:val="Point 2 (number)"/>
    <w:basedOn w:val="Normal"/>
    <w:rsid w:val="0045525D"/>
    <w:pPr>
      <w:numPr>
        <w:ilvl w:val="4"/>
        <w:numId w:val="7"/>
      </w:numPr>
    </w:pPr>
  </w:style>
  <w:style w:type="paragraph" w:customStyle="1" w:styleId="Point3number">
    <w:name w:val="Point 3 (number)"/>
    <w:basedOn w:val="Normal"/>
    <w:rsid w:val="0045525D"/>
    <w:pPr>
      <w:numPr>
        <w:ilvl w:val="6"/>
        <w:numId w:val="7"/>
      </w:numPr>
    </w:pPr>
  </w:style>
  <w:style w:type="paragraph" w:customStyle="1" w:styleId="Point0letter">
    <w:name w:val="Point 0 (letter)"/>
    <w:basedOn w:val="Normal"/>
    <w:rsid w:val="0045525D"/>
    <w:pPr>
      <w:numPr>
        <w:ilvl w:val="1"/>
        <w:numId w:val="7"/>
      </w:numPr>
    </w:pPr>
  </w:style>
  <w:style w:type="paragraph" w:customStyle="1" w:styleId="Point1letter">
    <w:name w:val="Point 1 (letter)"/>
    <w:basedOn w:val="Normal"/>
    <w:rsid w:val="0045525D"/>
    <w:pPr>
      <w:numPr>
        <w:ilvl w:val="3"/>
        <w:numId w:val="7"/>
      </w:numPr>
    </w:pPr>
  </w:style>
  <w:style w:type="paragraph" w:customStyle="1" w:styleId="Point2letter">
    <w:name w:val="Point 2 (letter)"/>
    <w:basedOn w:val="Normal"/>
    <w:rsid w:val="0045525D"/>
    <w:pPr>
      <w:numPr>
        <w:ilvl w:val="5"/>
        <w:numId w:val="7"/>
      </w:numPr>
    </w:pPr>
  </w:style>
  <w:style w:type="paragraph" w:customStyle="1" w:styleId="Point3letter">
    <w:name w:val="Point 3 (letter)"/>
    <w:basedOn w:val="Normal"/>
    <w:rsid w:val="0045525D"/>
    <w:pPr>
      <w:numPr>
        <w:ilvl w:val="7"/>
        <w:numId w:val="7"/>
      </w:numPr>
    </w:pPr>
  </w:style>
  <w:style w:type="paragraph" w:customStyle="1" w:styleId="Point4letter">
    <w:name w:val="Point 4 (letter)"/>
    <w:basedOn w:val="Normal"/>
    <w:rsid w:val="0045525D"/>
    <w:pPr>
      <w:numPr>
        <w:ilvl w:val="8"/>
        <w:numId w:val="7"/>
      </w:numPr>
    </w:pPr>
  </w:style>
  <w:style w:type="paragraph" w:customStyle="1" w:styleId="Annexetitre">
    <w:name w:val="Annexe titre"/>
    <w:basedOn w:val="Normal"/>
    <w:next w:val="Normal"/>
    <w:link w:val="AnnexetitreChar"/>
    <w:rsid w:val="0045525D"/>
    <w:pPr>
      <w:jc w:val="center"/>
    </w:pPr>
    <w:rPr>
      <w:b/>
      <w:u w:val="single"/>
    </w:rPr>
  </w:style>
  <w:style w:type="character" w:customStyle="1" w:styleId="Marker">
    <w:name w:val="Marker"/>
    <w:basedOn w:val="DefaultParagraphFont"/>
    <w:rsid w:val="00F155D9"/>
    <w:rPr>
      <w:color w:val="0000FF"/>
      <w:shd w:val="clear" w:color="auto" w:fill="auto"/>
    </w:rPr>
  </w:style>
  <w:style w:type="paragraph" w:customStyle="1" w:styleId="Pagedecouverture">
    <w:name w:val="Page de couverture"/>
    <w:basedOn w:val="Normal"/>
    <w:next w:val="Normal"/>
    <w:rsid w:val="00F155D9"/>
    <w:pPr>
      <w:spacing w:before="0" w:after="0"/>
    </w:pPr>
  </w:style>
  <w:style w:type="paragraph" w:styleId="Header">
    <w:name w:val="header"/>
    <w:basedOn w:val="Normal"/>
    <w:link w:val="HeaderChar"/>
    <w:uiPriority w:val="99"/>
    <w:unhideWhenUsed/>
    <w:rsid w:val="00F155D9"/>
    <w:pPr>
      <w:tabs>
        <w:tab w:val="center" w:pos="4513"/>
        <w:tab w:val="right" w:pos="9026"/>
      </w:tabs>
      <w:spacing w:before="0" w:after="0"/>
    </w:pPr>
  </w:style>
  <w:style w:type="character" w:customStyle="1" w:styleId="HeaderChar">
    <w:name w:val="Header Char"/>
    <w:basedOn w:val="DefaultParagraphFont"/>
    <w:link w:val="Header"/>
    <w:uiPriority w:val="99"/>
    <w:rsid w:val="00F155D9"/>
    <w:rPr>
      <w:rFonts w:ascii="Times New Roman" w:hAnsi="Times New Roman" w:cs="Times New Roman"/>
      <w:sz w:val="24"/>
    </w:rPr>
  </w:style>
  <w:style w:type="paragraph" w:customStyle="1" w:styleId="FooterCoverPage">
    <w:name w:val="Footer Cover Page"/>
    <w:basedOn w:val="Normal"/>
    <w:link w:val="FooterCoverPageChar"/>
    <w:rsid w:val="00F155D9"/>
    <w:pPr>
      <w:tabs>
        <w:tab w:val="center" w:pos="4535"/>
        <w:tab w:val="right" w:pos="9071"/>
        <w:tab w:val="right" w:pos="9921"/>
      </w:tabs>
      <w:spacing w:before="360" w:after="0"/>
      <w:ind w:left="-850" w:right="-850"/>
      <w:jc w:val="left"/>
    </w:pPr>
  </w:style>
  <w:style w:type="character" w:customStyle="1" w:styleId="AnnexetitreChar">
    <w:name w:val="Annexe titre Char"/>
    <w:basedOn w:val="DefaultParagraphFont"/>
    <w:link w:val="Annexetitre"/>
    <w:rsid w:val="00F155D9"/>
    <w:rPr>
      <w:rFonts w:ascii="Times New Roman" w:hAnsi="Times New Roman" w:cs="Times New Roman"/>
      <w:b/>
      <w:sz w:val="24"/>
      <w:u w:val="single"/>
    </w:rPr>
  </w:style>
  <w:style w:type="character" w:customStyle="1" w:styleId="FooterCoverPageChar">
    <w:name w:val="Footer Cover Page Char"/>
    <w:basedOn w:val="AnnexetitreChar"/>
    <w:link w:val="FooterCoverPage"/>
    <w:rsid w:val="00F155D9"/>
    <w:rPr>
      <w:rFonts w:ascii="Times New Roman" w:hAnsi="Times New Roman" w:cs="Times New Roman"/>
      <w:b w:val="0"/>
      <w:sz w:val="24"/>
      <w:u w:val="single"/>
    </w:rPr>
  </w:style>
  <w:style w:type="paragraph" w:customStyle="1" w:styleId="FooterSensitivity">
    <w:name w:val="Footer Sensitivity"/>
    <w:basedOn w:val="Normal"/>
    <w:link w:val="FooterSensitivityChar"/>
    <w:rsid w:val="00F155D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AnnexetitreChar"/>
    <w:link w:val="FooterSensitivity"/>
    <w:rsid w:val="00F155D9"/>
    <w:rPr>
      <w:rFonts w:ascii="Times New Roman" w:hAnsi="Times New Roman" w:cs="Times New Roman"/>
      <w:b/>
      <w:sz w:val="32"/>
      <w:u w:val="single"/>
    </w:rPr>
  </w:style>
  <w:style w:type="paragraph" w:customStyle="1" w:styleId="HeaderCoverPage">
    <w:name w:val="Header Cover Page"/>
    <w:basedOn w:val="Normal"/>
    <w:link w:val="HeaderCoverPageChar"/>
    <w:rsid w:val="00F155D9"/>
    <w:pPr>
      <w:tabs>
        <w:tab w:val="center" w:pos="4535"/>
        <w:tab w:val="right" w:pos="9071"/>
      </w:tabs>
      <w:spacing w:before="0"/>
    </w:pPr>
  </w:style>
  <w:style w:type="character" w:customStyle="1" w:styleId="HeaderCoverPageChar">
    <w:name w:val="Header Cover Page Char"/>
    <w:basedOn w:val="AnnexetitreChar"/>
    <w:link w:val="HeaderCoverPage"/>
    <w:rsid w:val="00F155D9"/>
    <w:rPr>
      <w:rFonts w:ascii="Times New Roman" w:hAnsi="Times New Roman" w:cs="Times New Roman"/>
      <w:b w:val="0"/>
      <w:sz w:val="24"/>
      <w:u w:val="single"/>
    </w:rPr>
  </w:style>
  <w:style w:type="paragraph" w:customStyle="1" w:styleId="HeaderSensitivity">
    <w:name w:val="Header Sensitivity"/>
    <w:basedOn w:val="Normal"/>
    <w:link w:val="HeaderSensitivityChar"/>
    <w:rsid w:val="00F155D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AnnexetitreChar"/>
    <w:link w:val="HeaderSensitivity"/>
    <w:rsid w:val="00F155D9"/>
    <w:rPr>
      <w:rFonts w:ascii="Times New Roman" w:hAnsi="Times New Roman" w:cs="Times New Roman"/>
      <w:b/>
      <w:sz w:val="32"/>
      <w:u w:val="single"/>
    </w:rPr>
  </w:style>
  <w:style w:type="paragraph" w:customStyle="1" w:styleId="HeaderSensitivityRight">
    <w:name w:val="Header Sensitivity Right"/>
    <w:basedOn w:val="Normal"/>
    <w:link w:val="HeaderSensitivityRightChar"/>
    <w:rsid w:val="00F155D9"/>
    <w:pPr>
      <w:spacing w:before="0"/>
      <w:jc w:val="right"/>
    </w:pPr>
    <w:rPr>
      <w:sz w:val="28"/>
    </w:rPr>
  </w:style>
  <w:style w:type="character" w:customStyle="1" w:styleId="HeaderSensitivityRightChar">
    <w:name w:val="Header Sensitivity Right Char"/>
    <w:basedOn w:val="AnnexetitreChar"/>
    <w:link w:val="HeaderSensitivityRight"/>
    <w:rsid w:val="00F155D9"/>
    <w:rPr>
      <w:rFonts w:ascii="Times New Roman" w:hAnsi="Times New Roman" w:cs="Times New Roman"/>
      <w:b w:val="0"/>
      <w:sz w:val="28"/>
      <w:u w:val="single"/>
    </w:rPr>
  </w:style>
  <w:style w:type="character" w:styleId="CommentReference">
    <w:name w:val="annotation reference"/>
    <w:basedOn w:val="DefaultParagraphFont"/>
    <w:uiPriority w:val="99"/>
    <w:semiHidden/>
    <w:unhideWhenUsed/>
    <w:rsid w:val="00336657"/>
    <w:rPr>
      <w:sz w:val="16"/>
      <w:szCs w:val="16"/>
    </w:rPr>
  </w:style>
  <w:style w:type="paragraph" w:styleId="CommentText">
    <w:name w:val="annotation text"/>
    <w:basedOn w:val="Normal"/>
    <w:link w:val="CommentTextChar"/>
    <w:uiPriority w:val="99"/>
    <w:unhideWhenUsed/>
    <w:rsid w:val="00336657"/>
    <w:rPr>
      <w:sz w:val="20"/>
      <w:szCs w:val="20"/>
    </w:rPr>
  </w:style>
  <w:style w:type="character" w:customStyle="1" w:styleId="CommentTextChar">
    <w:name w:val="Comment Text Char"/>
    <w:basedOn w:val="DefaultParagraphFont"/>
    <w:link w:val="CommentText"/>
    <w:uiPriority w:val="99"/>
    <w:rsid w:val="0033665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6657"/>
    <w:rPr>
      <w:b/>
      <w:bCs/>
    </w:rPr>
  </w:style>
  <w:style w:type="character" w:customStyle="1" w:styleId="CommentSubjectChar">
    <w:name w:val="Comment Subject Char"/>
    <w:basedOn w:val="CommentTextChar"/>
    <w:link w:val="CommentSubject"/>
    <w:uiPriority w:val="99"/>
    <w:semiHidden/>
    <w:rsid w:val="0033665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3665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657"/>
    <w:rPr>
      <w:rFonts w:ascii="Segoe UI" w:hAnsi="Segoe UI" w:cs="Segoe UI"/>
      <w:sz w:val="18"/>
      <w:szCs w:val="18"/>
    </w:rPr>
  </w:style>
  <w:style w:type="paragraph" w:styleId="ListParagraph">
    <w:name w:val="List Paragraph"/>
    <w:basedOn w:val="Normal"/>
    <w:uiPriority w:val="34"/>
    <w:qFormat/>
    <w:rsid w:val="00C114CF"/>
    <w:pPr>
      <w:ind w:left="720"/>
      <w:contextualSpacing/>
    </w:pPr>
  </w:style>
  <w:style w:type="paragraph" w:styleId="Revision">
    <w:name w:val="Revision"/>
    <w:hidden/>
    <w:uiPriority w:val="99"/>
    <w:semiHidden/>
    <w:rsid w:val="00A56B4F"/>
    <w:pPr>
      <w:spacing w:after="0" w:line="240" w:lineRule="auto"/>
    </w:pPr>
    <w:rPr>
      <w:rFonts w:ascii="Times New Roman" w:hAnsi="Times New Roman" w:cs="Times New Roman"/>
      <w:sz w:val="24"/>
    </w:rPr>
  </w:style>
  <w:style w:type="character" w:styleId="Hyperlink">
    <w:name w:val="Hyperlink"/>
    <w:basedOn w:val="DefaultParagraphFont"/>
    <w:uiPriority w:val="99"/>
    <w:semiHidden/>
    <w:unhideWhenUsed/>
    <w:rsid w:val="002E6E7C"/>
    <w:rPr>
      <w:color w:val="0000FF"/>
      <w:u w:val="single"/>
    </w:rPr>
  </w:style>
  <w:style w:type="paragraph" w:customStyle="1" w:styleId="title-doc-first">
    <w:name w:val="title-doc-first"/>
    <w:basedOn w:val="Normal"/>
    <w:rsid w:val="00730EA6"/>
    <w:pPr>
      <w:spacing w:before="100" w:beforeAutospacing="1" w:after="100" w:afterAutospacing="1"/>
      <w:jc w:val="left"/>
    </w:pPr>
    <w:rPr>
      <w:rFonts w:eastAsia="Times New Roman"/>
      <w:szCs w:val="24"/>
    </w:rPr>
  </w:style>
  <w:style w:type="paragraph" w:customStyle="1" w:styleId="title-doc-last">
    <w:name w:val="title-doc-last"/>
    <w:basedOn w:val="Normal"/>
    <w:rsid w:val="00730EA6"/>
    <w:pPr>
      <w:spacing w:before="100" w:beforeAutospacing="1" w:after="100" w:afterAutospacing="1"/>
      <w:jc w:val="left"/>
    </w:pPr>
    <w:rPr>
      <w:rFonts w:eastAsia="Times New Roman"/>
      <w:szCs w:val="24"/>
    </w:rPr>
  </w:style>
  <w:style w:type="paragraph" w:customStyle="1" w:styleId="title-doc-oj-reference">
    <w:name w:val="title-doc-oj-reference"/>
    <w:basedOn w:val="Normal"/>
    <w:rsid w:val="00730EA6"/>
    <w:pPr>
      <w:spacing w:before="100" w:beforeAutospacing="1" w:after="100" w:afterAutospacing="1"/>
      <w:jc w:val="left"/>
    </w:pPr>
    <w:rPr>
      <w:rFonts w:eastAsia="Times New Roman"/>
      <w:szCs w:val="24"/>
    </w:rPr>
  </w:style>
  <w:style w:type="paragraph" w:styleId="Title">
    <w:name w:val="Title"/>
    <w:basedOn w:val="Normal"/>
    <w:next w:val="Normal"/>
    <w:link w:val="TitleChar"/>
    <w:uiPriority w:val="10"/>
    <w:qFormat/>
    <w:rsid w:val="0055300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00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9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3DDAE-EA46-4A38-A8C0-7C46E4512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952</Words>
  <Characters>4838</Characters>
  <Application>Microsoft Office Word</Application>
  <DocSecurity>0</DocSecurity>
  <Lines>124</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Nathalie (GROW)</dc:creator>
  <cp:keywords/>
  <dc:description/>
  <cp:lastModifiedBy>BELTRAN POVEDA Montserrat (DGT)</cp:lastModifiedBy>
  <cp:revision>3</cp:revision>
  <cp:lastPrinted>2022-10-06T07:12:00Z</cp:lastPrinted>
  <dcterms:created xsi:type="dcterms:W3CDTF">2022-12-20T09:08:00Z</dcterms:created>
  <dcterms:modified xsi:type="dcterms:W3CDTF">2023-01-20T13:00:00Z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CP-038</vt:lpwstr>
  </property>
  <property fmtid="{D5CDD505-2E9C-101B-9397-08002B2CF9AE}" pid="10" name="Last edited using">
    <vt:lpwstr>LW 8.1, Build 20220902</vt:lpwstr>
  </property>
  <property fmtid="{D5CDD505-2E9C-101B-9397-08002B2CF9AE}" pid="11" name="Created using">
    <vt:lpwstr>LW 7.0, Build 20190717</vt:lpwstr>
  </property>
</Properties>
</file>